
<file path=[Content_Types].xml><?xml version="1.0" encoding="utf-8"?>
<Types xmlns="http://schemas.openxmlformats.org/package/2006/content-types">
  <Default Extension="bin" ContentType="application/vnd.ms-office.activeX"/>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132990" w14:textId="77777777" w:rsidR="00CC7BE4" w:rsidRPr="00AC509C" w:rsidRDefault="00CC7BE4">
      <w:pPr>
        <w:pStyle w:val="Default"/>
        <w:jc w:val="center"/>
        <w:rPr>
          <w:rFonts w:ascii="Times New Roman" w:hAnsi="Times New Roman" w:cs="Times New Roman"/>
        </w:rPr>
      </w:pPr>
    </w:p>
    <w:p w14:paraId="0E2E4691" w14:textId="77777777" w:rsidR="00CC7BE4" w:rsidRPr="00AC509C" w:rsidRDefault="00CC7BE4">
      <w:pPr>
        <w:pStyle w:val="Default"/>
        <w:jc w:val="center"/>
        <w:rPr>
          <w:rFonts w:ascii="Times New Roman" w:hAnsi="Times New Roman" w:cs="Times New Roman"/>
        </w:rPr>
      </w:pPr>
    </w:p>
    <w:p w14:paraId="2055E692" w14:textId="77777777" w:rsidR="00CC7BE4" w:rsidRPr="00AC509C" w:rsidRDefault="00CC7BE4">
      <w:pPr>
        <w:pStyle w:val="Default"/>
        <w:jc w:val="center"/>
        <w:rPr>
          <w:rFonts w:ascii="Times New Roman" w:hAnsi="Times New Roman" w:cs="Times New Roman"/>
        </w:rPr>
      </w:pPr>
    </w:p>
    <w:p w14:paraId="1A7B23DE" w14:textId="77777777" w:rsidR="00CC7BE4" w:rsidRPr="00AC509C" w:rsidRDefault="00CC7BE4">
      <w:pPr>
        <w:pStyle w:val="Default"/>
        <w:jc w:val="center"/>
        <w:rPr>
          <w:rFonts w:ascii="Times New Roman" w:hAnsi="Times New Roman" w:cs="Times New Roman"/>
        </w:rPr>
      </w:pPr>
    </w:p>
    <w:p w14:paraId="011BB14D" w14:textId="77777777" w:rsidR="00CC7BE4" w:rsidRPr="00AC509C" w:rsidRDefault="00CC7BE4">
      <w:pPr>
        <w:pStyle w:val="Default"/>
        <w:jc w:val="center"/>
        <w:rPr>
          <w:rFonts w:ascii="Times New Roman" w:hAnsi="Times New Roman" w:cs="Times New Roman"/>
        </w:rPr>
      </w:pPr>
    </w:p>
    <w:p w14:paraId="1E6D8C8C" w14:textId="77777777" w:rsidR="00CC7BE4" w:rsidRPr="00AC509C" w:rsidRDefault="00CC7BE4">
      <w:pPr>
        <w:pStyle w:val="Default"/>
        <w:jc w:val="center"/>
        <w:rPr>
          <w:rFonts w:ascii="Times New Roman" w:hAnsi="Times New Roman" w:cs="Times New Roman"/>
        </w:rPr>
      </w:pPr>
    </w:p>
    <w:p w14:paraId="6BB5ABD4" w14:textId="77777777" w:rsidR="00CC7BE4" w:rsidRPr="00AC509C" w:rsidRDefault="00CC7BE4">
      <w:pPr>
        <w:pStyle w:val="Default"/>
        <w:jc w:val="center"/>
        <w:rPr>
          <w:rFonts w:ascii="Times New Roman" w:hAnsi="Times New Roman" w:cs="Times New Roman"/>
        </w:rPr>
      </w:pPr>
    </w:p>
    <w:p w14:paraId="338DC89C" w14:textId="77777777" w:rsidR="00CC7BE4" w:rsidRPr="00AC509C" w:rsidRDefault="00CC7BE4">
      <w:pPr>
        <w:pStyle w:val="Default"/>
        <w:rPr>
          <w:rFonts w:ascii="Times New Roman" w:hAnsi="Times New Roman" w:cs="Times New Roman"/>
        </w:rPr>
      </w:pPr>
    </w:p>
    <w:p w14:paraId="6155C9C8" w14:textId="77777777" w:rsidR="00CC7BE4" w:rsidRPr="00AC509C" w:rsidRDefault="00CC7BE4">
      <w:pPr>
        <w:pStyle w:val="Default"/>
        <w:jc w:val="center"/>
        <w:rPr>
          <w:rFonts w:ascii="Times New Roman" w:hAnsi="Times New Roman" w:cs="Times New Roman"/>
        </w:rPr>
      </w:pPr>
    </w:p>
    <w:p w14:paraId="332AF7F1" w14:textId="77777777" w:rsidR="00CC7BE4" w:rsidRPr="00AC509C" w:rsidRDefault="00CC7BE4">
      <w:pPr>
        <w:pStyle w:val="Default"/>
        <w:rPr>
          <w:rFonts w:ascii="Times New Roman" w:hAnsi="Times New Roman" w:cs="Times New Roman"/>
        </w:rPr>
      </w:pPr>
    </w:p>
    <w:p w14:paraId="6B6A9D3E" w14:textId="6D92B661" w:rsidR="00CC7BE4" w:rsidRPr="00AC509C" w:rsidRDefault="00AC509C">
      <w:pPr>
        <w:pStyle w:val="Default"/>
        <w:jc w:val="center"/>
        <w:rPr>
          <w:rFonts w:ascii="Times New Roman" w:hAnsi="Times New Roman" w:cs="Times New Roman"/>
          <w:b/>
          <w:bCs/>
          <w:sz w:val="48"/>
          <w:szCs w:val="40"/>
        </w:rPr>
      </w:pPr>
      <w:r w:rsidRPr="00AC509C">
        <w:rPr>
          <w:rFonts w:ascii="Times New Roman" w:hAnsi="Times New Roman" w:cs="Times New Roman" w:hint="eastAsia"/>
          <w:b/>
          <w:bCs/>
          <w:sz w:val="48"/>
          <w:szCs w:val="40"/>
        </w:rPr>
        <w:br/>
      </w:r>
      <w:r w:rsidRPr="00AC509C">
        <w:rPr>
          <w:rFonts w:ascii="Times New Roman" w:hAnsi="Times New Roman" w:cs="Times New Roman"/>
          <w:b/>
          <w:bCs/>
          <w:sz w:val="48"/>
          <w:szCs w:val="40"/>
        </w:rPr>
        <w:t>Clinical Study Agreement</w:t>
      </w:r>
    </w:p>
    <w:p w14:paraId="741F50E0" w14:textId="77777777" w:rsidR="00CC7BE4" w:rsidRPr="00AC509C" w:rsidRDefault="00CC7BE4">
      <w:pPr>
        <w:pStyle w:val="Default"/>
        <w:jc w:val="center"/>
        <w:rPr>
          <w:rFonts w:ascii="Times New Roman" w:hAnsi="Times New Roman" w:cs="Times New Roman"/>
          <w:b/>
          <w:sz w:val="40"/>
          <w:szCs w:val="40"/>
        </w:rPr>
      </w:pPr>
    </w:p>
    <w:p w14:paraId="706E9D3B" w14:textId="77777777" w:rsidR="00CC7BE4" w:rsidRPr="00AC509C" w:rsidRDefault="00CC7BE4">
      <w:pPr>
        <w:pStyle w:val="Default"/>
        <w:jc w:val="center"/>
        <w:rPr>
          <w:rFonts w:ascii="Times New Roman" w:hAnsi="Times New Roman" w:cs="Times New Roman"/>
          <w:sz w:val="40"/>
          <w:szCs w:val="40"/>
        </w:rPr>
      </w:pPr>
    </w:p>
    <w:p w14:paraId="5E92C403" w14:textId="77777777" w:rsidR="00CC7BE4" w:rsidRPr="00AC509C" w:rsidRDefault="00CC7BE4">
      <w:pPr>
        <w:pStyle w:val="Default"/>
        <w:jc w:val="center"/>
        <w:rPr>
          <w:rFonts w:ascii="Times New Roman" w:hAnsi="Times New Roman" w:cs="Times New Roman"/>
        </w:rPr>
      </w:pPr>
    </w:p>
    <w:p w14:paraId="3F76905D" w14:textId="77777777" w:rsidR="00CC7BE4" w:rsidRPr="00AC509C" w:rsidRDefault="00CC7BE4">
      <w:pPr>
        <w:pStyle w:val="Default"/>
        <w:rPr>
          <w:rFonts w:ascii="Times New Roman" w:hAnsi="Times New Roman" w:cs="Times New Roman"/>
        </w:rPr>
      </w:pPr>
    </w:p>
    <w:p w14:paraId="428D217E" w14:textId="77777777" w:rsidR="00CC7BE4" w:rsidRPr="00AC509C" w:rsidRDefault="00CC7BE4">
      <w:pPr>
        <w:pStyle w:val="Default"/>
        <w:rPr>
          <w:rFonts w:ascii="Times New Roman" w:hAnsi="Times New Roman" w:cs="Times New Roman"/>
        </w:rPr>
      </w:pPr>
    </w:p>
    <w:p w14:paraId="3B4AB338" w14:textId="77777777" w:rsidR="00CC7BE4" w:rsidRPr="00AC509C" w:rsidRDefault="00CC7BE4">
      <w:pPr>
        <w:pStyle w:val="Default"/>
        <w:rPr>
          <w:rFonts w:ascii="Times New Roman" w:hAnsi="Times New Roman" w:cs="Times New Roman"/>
        </w:rPr>
      </w:pPr>
    </w:p>
    <w:p w14:paraId="3BCA3A05" w14:textId="77777777" w:rsidR="00CC7BE4" w:rsidRPr="00AC509C" w:rsidRDefault="00CC7BE4">
      <w:pPr>
        <w:pStyle w:val="Default"/>
        <w:rPr>
          <w:rFonts w:ascii="Times New Roman" w:hAnsi="Times New Roman" w:cs="Times New Roman"/>
        </w:rPr>
      </w:pPr>
    </w:p>
    <w:p w14:paraId="5820A104" w14:textId="77777777" w:rsidR="00CC7BE4" w:rsidRPr="00AC509C" w:rsidRDefault="00CC7BE4">
      <w:pPr>
        <w:pStyle w:val="Default"/>
        <w:rPr>
          <w:rFonts w:ascii="Times New Roman" w:hAnsi="Times New Roman" w:cs="Times New Roman"/>
        </w:rPr>
      </w:pPr>
    </w:p>
    <w:p w14:paraId="76CDF010" w14:textId="77777777" w:rsidR="00CC7BE4" w:rsidRPr="00AC509C" w:rsidRDefault="00CC7BE4">
      <w:pPr>
        <w:pStyle w:val="Default"/>
        <w:rPr>
          <w:rFonts w:ascii="Times New Roman" w:hAnsi="Times New Roman" w:cs="Times New Roman"/>
        </w:rPr>
      </w:pPr>
    </w:p>
    <w:p w14:paraId="557F9F4E" w14:textId="77777777" w:rsidR="00CC7BE4" w:rsidRPr="00AC509C" w:rsidRDefault="00CC7BE4">
      <w:pPr>
        <w:pStyle w:val="Default"/>
        <w:rPr>
          <w:rFonts w:ascii="Times New Roman" w:hAnsi="Times New Roman" w:cs="Times New Roman"/>
        </w:rPr>
      </w:pPr>
    </w:p>
    <w:p w14:paraId="1C0F592A" w14:textId="77777777" w:rsidR="00CC7BE4" w:rsidRPr="00AC509C" w:rsidRDefault="00CC7BE4">
      <w:pPr>
        <w:pStyle w:val="Default"/>
        <w:tabs>
          <w:tab w:val="left" w:pos="3544"/>
        </w:tabs>
        <w:rPr>
          <w:rFonts w:ascii="Times New Roman" w:hAnsi="Times New Roman" w:cs="Times New Roman"/>
        </w:rPr>
      </w:pPr>
    </w:p>
    <w:p w14:paraId="4E1B5D03" w14:textId="77777777" w:rsidR="00933FA8" w:rsidRDefault="00B447DA" w:rsidP="00933FA8">
      <w:pPr>
        <w:pStyle w:val="1"/>
        <w:ind w:firstLine="0"/>
        <w:jc w:val="center"/>
        <w:rPr>
          <w:rFonts w:ascii="Times New Roman" w:eastAsia="標楷體" w:hAnsi="Times New Roman" w:cs="Times New Roman"/>
          <w:color w:val="000000"/>
          <w:spacing w:val="20"/>
          <w:szCs w:val="24"/>
          <w:shd w:val="clear" w:color="auto" w:fill="FFFFFF"/>
        </w:rPr>
      </w:pPr>
      <w:r w:rsidRPr="00AC509C">
        <w:rPr>
          <w:rFonts w:ascii="Times New Roman" w:eastAsia="標楷體" w:hAnsi="Times New Roman" w:cs="Times New Roman"/>
          <w:color w:val="000000"/>
          <w:spacing w:val="20"/>
          <w:szCs w:val="24"/>
          <w:shd w:val="clear" w:color="auto" w:fill="FFFFFF"/>
        </w:rPr>
        <w:t>  </w:t>
      </w:r>
    </w:p>
    <w:p w14:paraId="4C879464" w14:textId="77777777" w:rsidR="00933FA8" w:rsidRDefault="00933FA8" w:rsidP="00933FA8">
      <w:pPr>
        <w:pStyle w:val="1"/>
        <w:ind w:firstLine="0"/>
        <w:jc w:val="center"/>
        <w:rPr>
          <w:rFonts w:ascii="Times New Roman" w:eastAsia="標楷體" w:hAnsi="Times New Roman" w:cs="Times New Roman"/>
          <w:color w:val="000000"/>
          <w:spacing w:val="20"/>
          <w:szCs w:val="24"/>
          <w:shd w:val="clear" w:color="auto" w:fill="FFFFFF"/>
        </w:rPr>
      </w:pPr>
    </w:p>
    <w:p w14:paraId="55B81D97" w14:textId="77777777" w:rsidR="00933FA8" w:rsidRDefault="00933FA8" w:rsidP="00933FA8">
      <w:pPr>
        <w:pStyle w:val="1"/>
        <w:ind w:firstLine="0"/>
        <w:jc w:val="center"/>
        <w:rPr>
          <w:rFonts w:ascii="Times New Roman" w:eastAsia="標楷體" w:hAnsi="Times New Roman" w:cs="Times New Roman"/>
          <w:color w:val="000000"/>
          <w:spacing w:val="20"/>
          <w:szCs w:val="24"/>
          <w:shd w:val="clear" w:color="auto" w:fill="FFFFFF"/>
        </w:rPr>
      </w:pPr>
    </w:p>
    <w:p w14:paraId="2BAFDCD6" w14:textId="77777777" w:rsidR="00933FA8" w:rsidRDefault="00933FA8" w:rsidP="00933FA8">
      <w:pPr>
        <w:pStyle w:val="1"/>
        <w:ind w:firstLine="0"/>
        <w:jc w:val="center"/>
        <w:rPr>
          <w:rFonts w:ascii="Times New Roman" w:eastAsia="標楷體" w:hAnsi="Times New Roman" w:cs="Times New Roman"/>
          <w:color w:val="000000"/>
          <w:spacing w:val="20"/>
          <w:szCs w:val="24"/>
          <w:shd w:val="clear" w:color="auto" w:fill="FFFFFF"/>
        </w:rPr>
      </w:pPr>
    </w:p>
    <w:p w14:paraId="35B344B2" w14:textId="7A6910A1" w:rsidR="00CC7BE4" w:rsidRPr="00933FA8" w:rsidRDefault="00B447DA" w:rsidP="00933FA8">
      <w:pPr>
        <w:pStyle w:val="1"/>
        <w:ind w:firstLine="0"/>
        <w:jc w:val="center"/>
        <w:rPr>
          <w:rFonts w:ascii="Times New Roman" w:hAnsi="Times New Roman" w:cs="Times New Roman"/>
        </w:rPr>
      </w:pPr>
      <w:r w:rsidRPr="00AC509C">
        <w:rPr>
          <w:rFonts w:ascii="Times New Roman" w:eastAsia="標楷體" w:hAnsi="Times New Roman" w:cs="Times New Roman"/>
          <w:color w:val="000000"/>
          <w:spacing w:val="20"/>
          <w:szCs w:val="24"/>
          <w:shd w:val="clear" w:color="auto" w:fill="FFFFFF"/>
        </w:rPr>
        <w:t>   </w:t>
      </w:r>
      <w:r w:rsidR="00AC509C" w:rsidRPr="00AC509C">
        <w:rPr>
          <w:rFonts w:ascii="Times New Roman" w:eastAsia="標楷體" w:hAnsi="Times New Roman" w:cs="Times New Roman" w:hint="eastAsia"/>
          <w:color w:val="000000"/>
          <w:spacing w:val="20"/>
          <w:szCs w:val="24"/>
          <w:shd w:val="clear" w:color="auto" w:fill="FFFFFF"/>
        </w:rPr>
        <w:br/>
      </w:r>
      <w:r w:rsidR="00AC509C" w:rsidRPr="00AC509C">
        <w:rPr>
          <w:rFonts w:ascii="Times New Roman" w:hAnsi="Times New Roman" w:cs="Times New Roman"/>
        </w:rPr>
        <w:t>Institution:</w:t>
      </w:r>
      <w:r w:rsidR="00FA4756" w:rsidRPr="00FA4756">
        <w:rPr>
          <w:rFonts w:hint="eastAsia"/>
        </w:rPr>
        <w:t xml:space="preserve"> </w:t>
      </w:r>
      <w:r w:rsidR="00BF4E1B">
        <w:rPr>
          <w:rFonts w:ascii="Times New Roman" w:eastAsia="標楷體" w:hAnsi="Times New Roman" w:cs="Times New Roman" w:hint="eastAsia"/>
          <w:color w:val="000000"/>
          <w:spacing w:val="20"/>
          <w:szCs w:val="24"/>
          <w:shd w:val="clear" w:color="auto" w:fill="FFFFFF"/>
        </w:rPr>
        <w:br/>
      </w:r>
      <w:r w:rsidR="00BF4E1B" w:rsidRPr="00BF4E1B">
        <w:rPr>
          <w:rFonts w:ascii="Times New Roman" w:hAnsi="Times New Roman" w:cs="Times New Roman"/>
        </w:rPr>
        <w:t>Institution Contract Representative: Taipei Medical University</w:t>
      </w:r>
      <w:r w:rsidRPr="00AC509C">
        <w:rPr>
          <w:rFonts w:ascii="Times New Roman" w:eastAsia="標楷體" w:hAnsi="Times New Roman" w:cs="Times New Roman"/>
          <w:color w:val="000000"/>
          <w:spacing w:val="20"/>
          <w:szCs w:val="24"/>
          <w:shd w:val="clear" w:color="auto" w:fill="FFFFFF"/>
        </w:rPr>
        <w:t>    </w:t>
      </w:r>
      <w:r w:rsidR="00BF4E1B">
        <w:rPr>
          <w:rFonts w:ascii="Times New Roman" w:eastAsia="標楷體" w:hAnsi="Times New Roman" w:cs="Times New Roman" w:hint="eastAsia"/>
          <w:color w:val="000000"/>
          <w:spacing w:val="20"/>
          <w:szCs w:val="24"/>
          <w:shd w:val="clear" w:color="auto" w:fill="FFFFFF"/>
        </w:rPr>
        <w:br/>
      </w:r>
      <w:r w:rsidR="00BF4E1B" w:rsidRPr="00BF4E1B">
        <w:rPr>
          <w:rFonts w:ascii="Times New Roman" w:hAnsi="Times New Roman" w:cs="Times New Roman"/>
        </w:rPr>
        <w:t>Principal Investigator:</w:t>
      </w:r>
      <w:r w:rsidR="00FA4756" w:rsidRPr="00FA4756">
        <w:rPr>
          <w:rFonts w:ascii="Times New Roman" w:hAnsi="Times New Roman" w:cs="Times New Roman" w:hint="eastAsia"/>
        </w:rPr>
        <w:t xml:space="preserve"> </w:t>
      </w:r>
      <w:r w:rsidRPr="00AC509C">
        <w:rPr>
          <w:rFonts w:ascii="Times New Roman" w:eastAsia="標楷體" w:hAnsi="Times New Roman" w:cs="Times New Roman"/>
          <w:color w:val="000000"/>
          <w:spacing w:val="20"/>
          <w:szCs w:val="24"/>
          <w:shd w:val="clear" w:color="auto" w:fill="FFFFFF"/>
        </w:rPr>
        <w:t>    </w:t>
      </w:r>
      <w:r w:rsidR="00BF4E1B">
        <w:rPr>
          <w:rFonts w:ascii="Times New Roman" w:eastAsia="標楷體" w:hAnsi="Times New Roman" w:cs="Times New Roman" w:hint="eastAsia"/>
          <w:color w:val="000000"/>
          <w:spacing w:val="20"/>
          <w:szCs w:val="24"/>
          <w:shd w:val="clear" w:color="auto" w:fill="FFFFFF"/>
        </w:rPr>
        <w:br/>
      </w:r>
      <w:r w:rsidR="00BF4E1B" w:rsidRPr="00BF4E1B">
        <w:rPr>
          <w:rFonts w:ascii="Times New Roman" w:hAnsi="Times New Roman" w:cs="Times New Roman"/>
        </w:rPr>
        <w:t>SPONSOR:</w:t>
      </w:r>
      <w:r w:rsidR="00FA4756" w:rsidRPr="00FA4756">
        <w:rPr>
          <w:rFonts w:hint="eastAsia"/>
        </w:rPr>
        <w:t xml:space="preserve"> </w:t>
      </w:r>
      <w:r w:rsidRPr="00AC509C">
        <w:rPr>
          <w:rFonts w:ascii="Times New Roman" w:eastAsia="標楷體" w:hAnsi="Times New Roman" w:cs="Times New Roman"/>
          <w:color w:val="000000"/>
          <w:spacing w:val="20"/>
          <w:szCs w:val="24"/>
          <w:shd w:val="clear" w:color="auto" w:fill="FFFFFF"/>
        </w:rPr>
        <w:t>     </w:t>
      </w:r>
      <w:r w:rsidR="00BF4E1B">
        <w:rPr>
          <w:rFonts w:ascii="Times New Roman" w:eastAsia="標楷體" w:hAnsi="Times New Roman" w:cs="Times New Roman" w:hint="eastAsia"/>
          <w:color w:val="000000"/>
          <w:spacing w:val="20"/>
          <w:szCs w:val="24"/>
          <w:shd w:val="clear" w:color="auto" w:fill="FFFFFF"/>
        </w:rPr>
        <w:br/>
      </w:r>
      <w:r w:rsidR="00BF4E1B" w:rsidRPr="00BF4E1B">
        <w:rPr>
          <w:rFonts w:ascii="Times New Roman" w:hAnsi="Times New Roman" w:cs="Times New Roman"/>
        </w:rPr>
        <w:t>Protocol No.:</w:t>
      </w:r>
      <w:r w:rsidR="00FA4756" w:rsidRPr="00FA4756">
        <w:rPr>
          <w:rFonts w:hint="eastAsia"/>
        </w:rPr>
        <w:t xml:space="preserve"> </w:t>
      </w:r>
    </w:p>
    <w:p w14:paraId="2676D4A9" w14:textId="77777777" w:rsidR="00C44E7C" w:rsidRPr="00C44E7C" w:rsidRDefault="00C44E7C">
      <w:pPr>
        <w:pStyle w:val="1"/>
        <w:ind w:firstLine="0"/>
        <w:jc w:val="center"/>
        <w:rPr>
          <w:rFonts w:ascii="Times New Roman" w:eastAsiaTheme="minorEastAsia" w:hAnsi="Times New Roman" w:cs="Times New Roman"/>
        </w:rPr>
      </w:pPr>
    </w:p>
    <w:p w14:paraId="395F3A5B" w14:textId="07FC4A6A" w:rsidR="00CC7BE4" w:rsidRPr="00AC509C" w:rsidRDefault="004C7ED9">
      <w:pPr>
        <w:pStyle w:val="Standard"/>
        <w:pageBreakBefore/>
        <w:jc w:val="center"/>
      </w:pPr>
      <w:r w:rsidRPr="004C7ED9">
        <w:rPr>
          <w:rFonts w:eastAsia="標楷體"/>
          <w:b/>
          <w:bCs/>
          <w:color w:val="000000"/>
          <w:sz w:val="36"/>
          <w:szCs w:val="32"/>
        </w:rPr>
        <w:lastRenderedPageBreak/>
        <w:t>Clinical Study Agreement</w:t>
      </w:r>
    </w:p>
    <w:p w14:paraId="154E78CC" w14:textId="77777777" w:rsidR="00CC7BE4" w:rsidRPr="000862E3" w:rsidRDefault="00CC7BE4">
      <w:pPr>
        <w:pStyle w:val="Standard"/>
        <w:jc w:val="both"/>
        <w:rPr>
          <w:rFonts w:eastAsia="標楷體"/>
          <w:b/>
          <w:bCs/>
          <w:color w:val="000000"/>
          <w:sz w:val="36"/>
          <w:szCs w:val="32"/>
        </w:rPr>
      </w:pPr>
    </w:p>
    <w:p w14:paraId="49B414F7" w14:textId="167320E5" w:rsidR="00FA4756" w:rsidRDefault="00696162">
      <w:pPr>
        <w:pStyle w:val="Standard"/>
        <w:spacing w:line="276" w:lineRule="auto"/>
        <w:rPr>
          <w:rFonts w:eastAsia="Times New Roman"/>
          <w:color w:val="000000"/>
          <w:kern w:val="0"/>
        </w:rPr>
      </w:pPr>
      <w:bookmarkStart w:id="0" w:name="_1661234383"/>
      <w:bookmarkEnd w:id="0"/>
      <w:r w:rsidRPr="00696162">
        <w:rPr>
          <w:rFonts w:eastAsia="Times New Roman"/>
          <w:color w:val="000000"/>
          <w:kern w:val="0"/>
        </w:rPr>
        <w:t>Parties to the Agreement:</w:t>
      </w:r>
    </w:p>
    <w:p w14:paraId="4201A1DF" w14:textId="77777777" w:rsidR="00696162" w:rsidRDefault="00696162">
      <w:pPr>
        <w:pStyle w:val="Standard"/>
        <w:spacing w:line="276" w:lineRule="auto"/>
        <w:rPr>
          <w:rFonts w:eastAsia="Times New Roman"/>
          <w:color w:val="000000"/>
          <w:kern w:val="0"/>
        </w:rPr>
      </w:pPr>
    </w:p>
    <w:p w14:paraId="401148D5" w14:textId="65357C2A" w:rsidR="000862E3" w:rsidRDefault="00042229" w:rsidP="00E1660A">
      <w:pPr>
        <w:pStyle w:val="Standard"/>
        <w:spacing w:line="276" w:lineRule="auto"/>
        <w:rPr>
          <w:rFonts w:eastAsiaTheme="minorEastAsia"/>
        </w:rPr>
      </w:pPr>
      <w:r w:rsidRPr="00497916">
        <w:rPr>
          <w:rFonts w:ascii="標楷體" w:eastAsia="標楷體" w:hAnsi="標楷體"/>
          <w:color w:val="000000"/>
          <w:kern w:val="0"/>
        </w:rPr>
        <w:object w:dxaOrig="225" w:dyaOrig="225" w14:anchorId="192192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65pt;height:23.8pt" o:ole="">
            <v:imagedata r:id="rId7" o:title=""/>
          </v:shape>
          <w:control r:id="rId8" w:name="CheckBox6" w:shapeid="_x0000_i1037"/>
        </w:object>
      </w:r>
      <w:r w:rsidR="00FA10DD" w:rsidRPr="00FA10DD">
        <w:rPr>
          <w:rFonts w:eastAsiaTheme="minorEastAsia"/>
        </w:rPr>
        <w:t>Taipei Medical University Hospital</w:t>
      </w:r>
      <w:r w:rsidR="00FA4756">
        <w:rPr>
          <w:rFonts w:eastAsiaTheme="minorEastAsia" w:hint="eastAsia"/>
        </w:rPr>
        <w:t xml:space="preserve"> </w:t>
      </w:r>
    </w:p>
    <w:p w14:paraId="454E41E3" w14:textId="3985D921" w:rsidR="000862E3" w:rsidRDefault="00042229" w:rsidP="00E1660A">
      <w:pPr>
        <w:pStyle w:val="Standard"/>
        <w:spacing w:line="276" w:lineRule="auto"/>
        <w:rPr>
          <w:rFonts w:eastAsiaTheme="minorEastAsia"/>
        </w:rPr>
      </w:pPr>
      <w:r w:rsidRPr="00497916">
        <w:rPr>
          <w:rFonts w:ascii="標楷體" w:eastAsia="標楷體" w:hAnsi="標楷體"/>
          <w:color w:val="000000"/>
          <w:kern w:val="0"/>
        </w:rPr>
        <w:object w:dxaOrig="225" w:dyaOrig="225" w14:anchorId="38C11F75">
          <v:shape id="_x0000_i1039" type="#_x0000_t75" style="width:15.65pt;height:23.8pt" o:ole="">
            <v:imagedata r:id="rId9" o:title=""/>
          </v:shape>
          <w:control r:id="rId10" w:name="CheckBox61" w:shapeid="_x0000_i1039"/>
        </w:object>
      </w:r>
      <w:r w:rsidR="000862E3">
        <w:rPr>
          <w:rFonts w:eastAsiaTheme="minorEastAsia" w:hint="eastAsia"/>
        </w:rPr>
        <w:t>T</w:t>
      </w:r>
      <w:r w:rsidR="000862E3">
        <w:rPr>
          <w:rFonts w:eastAsiaTheme="minorEastAsia"/>
        </w:rPr>
        <w:t xml:space="preserve">aipei Municipal </w:t>
      </w:r>
      <w:proofErr w:type="spellStart"/>
      <w:r w:rsidR="000862E3">
        <w:rPr>
          <w:rFonts w:eastAsiaTheme="minorEastAsia"/>
        </w:rPr>
        <w:t>Wanfang</w:t>
      </w:r>
      <w:proofErr w:type="spellEnd"/>
      <w:r w:rsidR="000862E3">
        <w:rPr>
          <w:rFonts w:eastAsiaTheme="minorEastAsia"/>
        </w:rPr>
        <w:t xml:space="preserve"> Hospital</w:t>
      </w:r>
    </w:p>
    <w:p w14:paraId="62FB4A6D" w14:textId="649A9EBD" w:rsidR="00CC7BE4" w:rsidRPr="00FA4756" w:rsidRDefault="00042229" w:rsidP="00E1660A">
      <w:pPr>
        <w:pStyle w:val="Standard"/>
        <w:spacing w:line="276" w:lineRule="auto"/>
        <w:rPr>
          <w:rFonts w:eastAsiaTheme="minorEastAsia"/>
        </w:rPr>
      </w:pPr>
      <w:r w:rsidRPr="00497916">
        <w:rPr>
          <w:rFonts w:ascii="標楷體" w:eastAsia="標楷體" w:hAnsi="標楷體"/>
          <w:color w:val="000000"/>
          <w:kern w:val="0"/>
        </w:rPr>
        <w:object w:dxaOrig="225" w:dyaOrig="225" w14:anchorId="18181F8E">
          <v:shape id="_x0000_i1041" type="#_x0000_t75" style="width:15.65pt;height:23.8pt" o:ole="">
            <v:imagedata r:id="rId11" o:title=""/>
          </v:shape>
          <w:control r:id="rId12" w:name="CheckBox62" w:shapeid="_x0000_i1041"/>
        </w:object>
      </w:r>
      <w:r w:rsidR="000862E3">
        <w:rPr>
          <w:rFonts w:eastAsiaTheme="minorEastAsia"/>
        </w:rPr>
        <w:t>Taipei Medical University-</w:t>
      </w:r>
      <w:proofErr w:type="spellStart"/>
      <w:r w:rsidR="000862E3">
        <w:rPr>
          <w:rFonts w:eastAsiaTheme="minorEastAsia"/>
        </w:rPr>
        <w:t>Shuang</w:t>
      </w:r>
      <w:proofErr w:type="spellEnd"/>
      <w:r w:rsidR="000862E3">
        <w:rPr>
          <w:rFonts w:eastAsiaTheme="minorEastAsia"/>
        </w:rPr>
        <w:t xml:space="preserve"> Ho Hospital, Ministry of Health and </w:t>
      </w:r>
      <w:proofErr w:type="gramStart"/>
      <w:r w:rsidR="000862E3">
        <w:rPr>
          <w:rFonts w:eastAsiaTheme="minorEastAsia"/>
        </w:rPr>
        <w:t>Welfare</w:t>
      </w:r>
      <w:r w:rsidR="000862E3">
        <w:rPr>
          <w:rFonts w:eastAsiaTheme="minorEastAsia" w:hint="eastAsia"/>
        </w:rPr>
        <w:t xml:space="preserve"> </w:t>
      </w:r>
      <w:r w:rsidR="000862E3">
        <w:rPr>
          <w:rFonts w:eastAsiaTheme="minorEastAsia"/>
        </w:rPr>
        <w:t xml:space="preserve"> </w:t>
      </w:r>
      <w:r w:rsidR="00FA4756" w:rsidRPr="00A2654C">
        <w:t>(</w:t>
      </w:r>
      <w:proofErr w:type="gramEnd"/>
      <w:r w:rsidR="00FA4756" w:rsidRPr="00A2654C">
        <w:t xml:space="preserve">the </w:t>
      </w:r>
      <w:r w:rsidR="00FA4756">
        <w:t>“</w:t>
      </w:r>
      <w:r w:rsidR="00FA4756" w:rsidRPr="00A2654C">
        <w:t>Party A</w:t>
      </w:r>
      <w:r w:rsidR="00FA4756">
        <w:t>”</w:t>
      </w:r>
      <w:r w:rsidR="00FA4756" w:rsidRPr="00A2654C">
        <w:t>)</w:t>
      </w:r>
    </w:p>
    <w:p w14:paraId="3EF7CC4C" w14:textId="14F6F0E2" w:rsidR="00E1660A" w:rsidRPr="00AC509C" w:rsidRDefault="00E1660A" w:rsidP="00E1660A">
      <w:pPr>
        <w:pStyle w:val="Standard"/>
        <w:spacing w:line="276" w:lineRule="auto"/>
      </w:pPr>
      <w:r>
        <w:rPr>
          <w:rFonts w:eastAsia="標楷體" w:hint="eastAsia"/>
          <w:color w:val="000000"/>
          <w:kern w:val="0"/>
        </w:rPr>
        <w:t xml:space="preserve"> </w:t>
      </w:r>
    </w:p>
    <w:p w14:paraId="7AEB9A9F" w14:textId="58C0A916" w:rsidR="00E1660A" w:rsidRPr="00FA4756" w:rsidRDefault="00E1660A" w:rsidP="000862E3">
      <w:pPr>
        <w:pStyle w:val="Standard"/>
        <w:tabs>
          <w:tab w:val="left" w:pos="1418"/>
        </w:tabs>
        <w:spacing w:line="276" w:lineRule="auto"/>
        <w:ind w:firstLineChars="3200" w:firstLine="7680"/>
        <w:rPr>
          <w:rFonts w:eastAsia="標楷體"/>
          <w:color w:val="000000"/>
        </w:rPr>
      </w:pPr>
      <w:r w:rsidRPr="00A2654C">
        <w:t xml:space="preserve">(the </w:t>
      </w:r>
      <w:r w:rsidR="00AF39D9">
        <w:t>“</w:t>
      </w:r>
      <w:r w:rsidRPr="00A2654C">
        <w:t>Party B</w:t>
      </w:r>
      <w:r w:rsidR="00AF39D9">
        <w:t>”</w:t>
      </w:r>
      <w:r w:rsidRPr="00A2654C">
        <w:t>)</w:t>
      </w:r>
    </w:p>
    <w:p w14:paraId="01920B6B" w14:textId="77777777" w:rsidR="00E1660A" w:rsidRPr="00E1660A" w:rsidRDefault="00E1660A">
      <w:pPr>
        <w:pStyle w:val="Standard"/>
        <w:tabs>
          <w:tab w:val="left" w:pos="1418"/>
        </w:tabs>
        <w:spacing w:line="276" w:lineRule="auto"/>
        <w:ind w:firstLine="1416"/>
      </w:pPr>
    </w:p>
    <w:p w14:paraId="3D10E251" w14:textId="77777777" w:rsidR="00CC7BE4" w:rsidRPr="00AC509C" w:rsidRDefault="00CC7BE4">
      <w:pPr>
        <w:pStyle w:val="Standard"/>
        <w:autoSpaceDE w:val="0"/>
        <w:rPr>
          <w:rFonts w:eastAsia="標楷體"/>
          <w:color w:val="000000"/>
          <w:kern w:val="0"/>
        </w:rPr>
      </w:pPr>
    </w:p>
    <w:p w14:paraId="717527CC" w14:textId="0E1FB335" w:rsidR="00E1660A" w:rsidRPr="00AC509C" w:rsidRDefault="00E1660A" w:rsidP="00E1660A">
      <w:pPr>
        <w:pStyle w:val="Standard"/>
        <w:keepNext/>
        <w:autoSpaceDE w:val="0"/>
        <w:jc w:val="both"/>
      </w:pPr>
      <w:r w:rsidRPr="00A2654C">
        <w:t xml:space="preserve">Whereas, Party B authorizes Party A for the conduct of a clinical study entitled </w:t>
      </w:r>
      <w:r w:rsidR="00AF39D9">
        <w:t>“</w:t>
      </w:r>
      <w:r w:rsidRPr="00AC509C">
        <w:rPr>
          <w:rFonts w:eastAsia="標楷體"/>
          <w:color w:val="000000"/>
        </w:rPr>
        <w:t> </w:t>
      </w:r>
      <w:r w:rsidR="005D1471">
        <w:rPr>
          <w:rFonts w:eastAsia="標楷體"/>
          <w:color w:val="000000"/>
        </w:rPr>
        <w:t xml:space="preserve">        </w:t>
      </w:r>
      <w:r w:rsidR="00AF39D9">
        <w:t>”</w:t>
      </w:r>
      <w:r w:rsidRPr="00A2654C">
        <w:t xml:space="preserve"> (the </w:t>
      </w:r>
      <w:r w:rsidR="00AF39D9">
        <w:t>“</w:t>
      </w:r>
      <w:r w:rsidRPr="00A2654C">
        <w:t>Study</w:t>
      </w:r>
      <w:r w:rsidR="00AF39D9">
        <w:t>”</w:t>
      </w:r>
      <w:r w:rsidRPr="00A2654C">
        <w:t xml:space="preserve">). The details of the Study are as shown in the Appendix 1 (the </w:t>
      </w:r>
      <w:r w:rsidR="00AF39D9">
        <w:t>“</w:t>
      </w:r>
      <w:r w:rsidRPr="00A2654C">
        <w:t>Protocol</w:t>
      </w:r>
      <w:r w:rsidR="00AF39D9">
        <w:t>”</w:t>
      </w:r>
      <w:r w:rsidRPr="00A2654C">
        <w:t xml:space="preserve">). Party A and Party B have entered into this Clinical Study Agreement (the </w:t>
      </w:r>
      <w:r w:rsidR="00AF39D9">
        <w:t>“</w:t>
      </w:r>
      <w:r w:rsidRPr="00A2654C">
        <w:t>Agreement</w:t>
      </w:r>
      <w:r w:rsidR="00AF39D9">
        <w:t>”</w:t>
      </w:r>
      <w:r w:rsidRPr="00A2654C">
        <w:t>) in good faith, and hereby agree as follows:</w:t>
      </w:r>
    </w:p>
    <w:p w14:paraId="2EAC4AB2" w14:textId="77777777" w:rsidR="00CC7BE4" w:rsidRPr="00AC509C" w:rsidRDefault="00CC7BE4">
      <w:pPr>
        <w:pStyle w:val="-11"/>
        <w:autoSpaceDE w:val="0"/>
        <w:ind w:firstLine="30"/>
        <w:rPr>
          <w:rFonts w:eastAsia="標楷體"/>
          <w:color w:val="000000"/>
          <w:kern w:val="0"/>
          <w:szCs w:val="24"/>
        </w:rPr>
      </w:pPr>
    </w:p>
    <w:p w14:paraId="292ADB2F" w14:textId="3EE1BD56" w:rsidR="004F641E" w:rsidRPr="00AC509C" w:rsidRDefault="004F641E" w:rsidP="004F641E">
      <w:pPr>
        <w:pStyle w:val="Standard"/>
        <w:keepNext/>
        <w:tabs>
          <w:tab w:val="left" w:pos="1134"/>
        </w:tabs>
        <w:autoSpaceDE w:val="0"/>
        <w:jc w:val="both"/>
      </w:pPr>
      <w:r w:rsidRPr="00A2654C">
        <w:rPr>
          <w:b/>
        </w:rPr>
        <w:t>Article 1:</w:t>
      </w:r>
      <w:r w:rsidRPr="00A2654C">
        <w:rPr>
          <w:b/>
        </w:rPr>
        <w:tab/>
        <w:t>Approval of Ethics Committee</w:t>
      </w:r>
    </w:p>
    <w:p w14:paraId="64958B0B" w14:textId="37807FEA" w:rsidR="00CC7BE4" w:rsidRPr="00AC509C" w:rsidRDefault="004F641E" w:rsidP="004F641E">
      <w:pPr>
        <w:pStyle w:val="Standard"/>
        <w:numPr>
          <w:ilvl w:val="1"/>
          <w:numId w:val="7"/>
        </w:numPr>
        <w:autoSpaceDE w:val="0"/>
        <w:ind w:left="1134" w:hanging="652"/>
      </w:pPr>
      <w:r w:rsidRPr="00A2654C">
        <w:t xml:space="preserve">Party B shall obtain the approval of Taipei Medical University - Joint Institutional Review Board (the </w:t>
      </w:r>
      <w:r w:rsidR="00AF39D9">
        <w:t>“</w:t>
      </w:r>
      <w:r w:rsidRPr="00A2654C">
        <w:t>Ethics Committee</w:t>
      </w:r>
      <w:r w:rsidR="00AF39D9">
        <w:t>”</w:t>
      </w:r>
      <w:r w:rsidRPr="00A2654C">
        <w:t xml:space="preserve">) before the initiation of the Study. Cases which are controlled by the Ministry of Health and Welfare shall require the approval of the central competent health authority. </w:t>
      </w:r>
    </w:p>
    <w:p w14:paraId="58040235" w14:textId="2E3003BB" w:rsidR="00CC7BE4" w:rsidRPr="00AC509C" w:rsidRDefault="004F641E" w:rsidP="004F641E">
      <w:pPr>
        <w:pStyle w:val="Standard"/>
        <w:numPr>
          <w:ilvl w:val="1"/>
          <w:numId w:val="7"/>
        </w:numPr>
        <w:autoSpaceDE w:val="0"/>
        <w:ind w:left="1134" w:hanging="652"/>
      </w:pPr>
      <w:r w:rsidRPr="00A2654C">
        <w:t>In no event may Principal Investigator conduct the Study on anyone before obtaining the aforesaid approval.</w:t>
      </w:r>
    </w:p>
    <w:p w14:paraId="2CD58399" w14:textId="3A65ADFA" w:rsidR="00CC7BE4" w:rsidRPr="00AC509C" w:rsidRDefault="004F641E" w:rsidP="004F641E">
      <w:pPr>
        <w:pStyle w:val="Standard"/>
        <w:numPr>
          <w:ilvl w:val="1"/>
          <w:numId w:val="7"/>
        </w:numPr>
        <w:autoSpaceDE w:val="0"/>
        <w:ind w:left="1134" w:hanging="652"/>
      </w:pPr>
      <w:r w:rsidRPr="00A2654C">
        <w:t xml:space="preserve">Principal Investigator shall conduct the Study as set out in the Protocol that has been approved by the Ethics Committee. Any amendment to the Study or its schedule shall require consents from both Party A and Party B, as well as the approval of the Ethics Committee. Cases which are controlled by the Ministry of Health and Welfare shall require the approval of the central competent health authority. </w:t>
      </w:r>
    </w:p>
    <w:p w14:paraId="16263DFB" w14:textId="013D4DE8" w:rsidR="00CC7BE4" w:rsidRPr="00AC509C" w:rsidRDefault="004F641E" w:rsidP="004F641E">
      <w:pPr>
        <w:pStyle w:val="Standard"/>
        <w:numPr>
          <w:ilvl w:val="1"/>
          <w:numId w:val="7"/>
        </w:numPr>
        <w:autoSpaceDE w:val="0"/>
        <w:ind w:left="1134" w:hanging="652"/>
      </w:pPr>
      <w:r w:rsidRPr="00A2654C">
        <w:t>Principal Investigator shall perform the Study in compliance with applicable laws and regulations and guidelines.</w:t>
      </w:r>
    </w:p>
    <w:p w14:paraId="54247EE7" w14:textId="77777777" w:rsidR="00CC7BE4" w:rsidRPr="00AC509C" w:rsidRDefault="00CC7BE4" w:rsidP="004F641E">
      <w:pPr>
        <w:pStyle w:val="-11"/>
        <w:autoSpaceDE w:val="0"/>
        <w:ind w:left="567"/>
        <w:rPr>
          <w:rFonts w:eastAsia="標楷體"/>
          <w:color w:val="000000"/>
          <w:szCs w:val="24"/>
        </w:rPr>
      </w:pPr>
    </w:p>
    <w:p w14:paraId="17255104" w14:textId="10C70143" w:rsidR="00CC7BE4" w:rsidRPr="00AC509C" w:rsidRDefault="004F641E" w:rsidP="000862E3">
      <w:pPr>
        <w:pStyle w:val="Standard"/>
        <w:keepNext/>
        <w:pageBreakBefore/>
        <w:tabs>
          <w:tab w:val="left" w:pos="1134"/>
        </w:tabs>
        <w:autoSpaceDE w:val="0"/>
      </w:pPr>
      <w:r w:rsidRPr="00A2654C">
        <w:rPr>
          <w:b/>
        </w:rPr>
        <w:lastRenderedPageBreak/>
        <w:t>Article 2:</w:t>
      </w:r>
      <w:r>
        <w:rPr>
          <w:rFonts w:eastAsiaTheme="minorEastAsia" w:hint="eastAsia"/>
          <w:b/>
        </w:rPr>
        <w:tab/>
      </w:r>
      <w:r w:rsidRPr="00A2654C">
        <w:rPr>
          <w:b/>
        </w:rPr>
        <w:t>Institution and Principal Investigator</w:t>
      </w:r>
    </w:p>
    <w:p w14:paraId="0DA1CBEA" w14:textId="42CC989E" w:rsidR="00CC7BE4" w:rsidRPr="00AC509C" w:rsidRDefault="004F641E" w:rsidP="00984DEF">
      <w:pPr>
        <w:pStyle w:val="Standard"/>
        <w:numPr>
          <w:ilvl w:val="1"/>
          <w:numId w:val="47"/>
        </w:numPr>
        <w:autoSpaceDE w:val="0"/>
      </w:pPr>
      <w:r w:rsidRPr="00A2654C">
        <w:t>The Institution of this Study is:</w:t>
      </w:r>
    </w:p>
    <w:bookmarkStart w:id="1" w:name="_1573311446"/>
    <w:bookmarkEnd w:id="1"/>
    <w:p w14:paraId="49E45A16" w14:textId="1E41FBC5" w:rsidR="000862E3" w:rsidRPr="000862E3" w:rsidRDefault="00042229" w:rsidP="000862E3">
      <w:pPr>
        <w:pStyle w:val="Standard"/>
        <w:autoSpaceDE w:val="0"/>
        <w:ind w:left="1134"/>
      </w:pPr>
      <w:r w:rsidRPr="00497916">
        <w:rPr>
          <w:rFonts w:ascii="標楷體" w:eastAsia="標楷體" w:hAnsi="標楷體"/>
          <w:color w:val="000000"/>
          <w:kern w:val="0"/>
        </w:rPr>
        <w:object w:dxaOrig="225" w:dyaOrig="225" w14:anchorId="4940CA1B">
          <v:shape id="_x0000_i1043" type="#_x0000_t75" style="width:15.65pt;height:23.8pt" o:ole="">
            <v:imagedata r:id="rId13" o:title=""/>
          </v:shape>
          <w:control r:id="rId14" w:name="CheckBox63" w:shapeid="_x0000_i1043"/>
        </w:object>
      </w:r>
      <w:r w:rsidR="000862E3" w:rsidRPr="000862E3">
        <w:t>Taipei Medical University Hospital</w:t>
      </w:r>
      <w:r w:rsidR="000862E3" w:rsidRPr="000862E3">
        <w:rPr>
          <w:rFonts w:hint="eastAsia"/>
        </w:rPr>
        <w:t xml:space="preserve"> </w:t>
      </w:r>
    </w:p>
    <w:p w14:paraId="5860E697" w14:textId="1A5B5F68" w:rsidR="000862E3" w:rsidRPr="000862E3" w:rsidRDefault="00042229" w:rsidP="000862E3">
      <w:pPr>
        <w:pStyle w:val="Standard"/>
        <w:autoSpaceDE w:val="0"/>
        <w:ind w:left="1134"/>
      </w:pPr>
      <w:r w:rsidRPr="00497916">
        <w:rPr>
          <w:rFonts w:ascii="標楷體" w:eastAsia="標楷體" w:hAnsi="標楷體"/>
          <w:color w:val="000000"/>
          <w:kern w:val="0"/>
        </w:rPr>
        <w:object w:dxaOrig="225" w:dyaOrig="225" w14:anchorId="0F9AB646">
          <v:shape id="_x0000_i1045" type="#_x0000_t75" style="width:15.65pt;height:23.8pt" o:ole="">
            <v:imagedata r:id="rId15" o:title=""/>
          </v:shape>
          <w:control r:id="rId16" w:name="CheckBox64" w:shapeid="_x0000_i1045"/>
        </w:object>
      </w:r>
      <w:r w:rsidR="000862E3" w:rsidRPr="000862E3">
        <w:rPr>
          <w:rFonts w:hint="eastAsia"/>
        </w:rPr>
        <w:t>T</w:t>
      </w:r>
      <w:r w:rsidR="000862E3" w:rsidRPr="000862E3">
        <w:t xml:space="preserve">aipei Municipal </w:t>
      </w:r>
      <w:proofErr w:type="spellStart"/>
      <w:r w:rsidR="000862E3" w:rsidRPr="000862E3">
        <w:t>Wanfang</w:t>
      </w:r>
      <w:proofErr w:type="spellEnd"/>
      <w:r w:rsidR="000862E3" w:rsidRPr="000862E3">
        <w:t xml:space="preserve"> Hospital</w:t>
      </w:r>
    </w:p>
    <w:p w14:paraId="1A272F28" w14:textId="630C15F7" w:rsidR="000862E3" w:rsidRPr="000862E3" w:rsidRDefault="00042229" w:rsidP="000862E3">
      <w:pPr>
        <w:pStyle w:val="Standard"/>
        <w:autoSpaceDE w:val="0"/>
        <w:ind w:left="1134"/>
        <w:rPr>
          <w:rFonts w:eastAsiaTheme="minorEastAsia"/>
        </w:rPr>
      </w:pPr>
      <w:r w:rsidRPr="00497916">
        <w:rPr>
          <w:rFonts w:ascii="標楷體" w:eastAsia="標楷體" w:hAnsi="標楷體"/>
          <w:color w:val="000000"/>
          <w:kern w:val="0"/>
        </w:rPr>
        <w:object w:dxaOrig="225" w:dyaOrig="225" w14:anchorId="26C70B12">
          <v:shape id="_x0000_i1047" type="#_x0000_t75" style="width:15.65pt;height:23.8pt" o:ole="">
            <v:imagedata r:id="rId17" o:title=""/>
          </v:shape>
          <w:control r:id="rId18" w:name="CheckBox65" w:shapeid="_x0000_i1047"/>
        </w:object>
      </w:r>
      <w:r w:rsidR="000862E3" w:rsidRPr="000862E3">
        <w:t>Taipei Medical University-</w:t>
      </w:r>
      <w:proofErr w:type="spellStart"/>
      <w:r w:rsidR="000862E3" w:rsidRPr="000862E3">
        <w:t>Shuang</w:t>
      </w:r>
      <w:proofErr w:type="spellEnd"/>
      <w:r w:rsidR="000862E3" w:rsidRPr="000862E3">
        <w:t xml:space="preserve"> Ho Hospital, Ministry of Health and Welfare</w:t>
      </w:r>
    </w:p>
    <w:p w14:paraId="0EB5C491" w14:textId="119DDDD6" w:rsidR="00CC7BE4" w:rsidRPr="00AC509C" w:rsidRDefault="000862E3" w:rsidP="00984DEF">
      <w:pPr>
        <w:pStyle w:val="Standard"/>
        <w:numPr>
          <w:ilvl w:val="1"/>
          <w:numId w:val="47"/>
        </w:numPr>
        <w:autoSpaceDE w:val="0"/>
        <w:ind w:left="1134" w:hanging="652"/>
      </w:pPr>
      <w:bookmarkStart w:id="2" w:name="_1573311317"/>
      <w:bookmarkEnd w:id="2"/>
      <w:r w:rsidRPr="00A2654C">
        <w:t>T</w:t>
      </w:r>
      <w:r w:rsidR="004F641E" w:rsidRPr="00A2654C">
        <w:t xml:space="preserve">he Principal Investigator of the Study is: Dr. </w:t>
      </w:r>
      <w:r w:rsidR="00FA4756" w:rsidRPr="000862E3">
        <w:rPr>
          <w:rFonts w:hint="eastAsia"/>
        </w:rPr>
        <w:t xml:space="preserve">J. Timothy </w:t>
      </w:r>
      <w:proofErr w:type="spellStart"/>
      <w:r w:rsidR="00FA4756" w:rsidRPr="000862E3">
        <w:rPr>
          <w:rFonts w:hint="eastAsia"/>
        </w:rPr>
        <w:t>Qiu</w:t>
      </w:r>
      <w:proofErr w:type="spellEnd"/>
      <w:r w:rsidR="00FA4756" w:rsidRPr="000862E3">
        <w:t xml:space="preserve"> </w:t>
      </w:r>
      <w:r w:rsidR="004F641E" w:rsidRPr="00A2654C">
        <w:t xml:space="preserve">of </w:t>
      </w:r>
      <w:r w:rsidR="00FA4756" w:rsidRPr="000862E3">
        <w:rPr>
          <w:rFonts w:hint="eastAsia"/>
        </w:rPr>
        <w:t>Taipei Medical University Hospital</w:t>
      </w:r>
      <w:r w:rsidR="00AF39D9" w:rsidRPr="000862E3">
        <w:rPr>
          <w:rFonts w:hint="eastAsia"/>
        </w:rPr>
        <w:t>.</w:t>
      </w:r>
    </w:p>
    <w:p w14:paraId="0BCC956F" w14:textId="301E0500" w:rsidR="00CC7BE4" w:rsidRPr="00AC509C" w:rsidRDefault="006757D1" w:rsidP="00984DEF">
      <w:pPr>
        <w:pStyle w:val="Standard"/>
        <w:numPr>
          <w:ilvl w:val="1"/>
          <w:numId w:val="47"/>
        </w:numPr>
        <w:autoSpaceDE w:val="0"/>
        <w:ind w:left="1134" w:hanging="652"/>
      </w:pPr>
      <w:r w:rsidRPr="00A2654C">
        <w:t>Party A and its personnel associated with the conduct of the Study shall fully comply with the terms of this Agreement, and shall be responsible and liable for any breach or damage incurred therefrom.</w:t>
      </w:r>
    </w:p>
    <w:p w14:paraId="428D6784" w14:textId="77777777" w:rsidR="00CC7BE4" w:rsidRPr="00AC509C" w:rsidRDefault="00CC7BE4" w:rsidP="004F641E">
      <w:pPr>
        <w:pStyle w:val="Standard"/>
        <w:autoSpaceDE w:val="0"/>
        <w:rPr>
          <w:rFonts w:eastAsia="標楷體"/>
          <w:b/>
          <w:color w:val="000000"/>
          <w:kern w:val="0"/>
        </w:rPr>
      </w:pPr>
    </w:p>
    <w:p w14:paraId="45C90287" w14:textId="4E2FE86D" w:rsidR="00CC7BE4" w:rsidRPr="00AC509C" w:rsidRDefault="006757D1" w:rsidP="000862E3">
      <w:pPr>
        <w:pStyle w:val="Standard"/>
        <w:keepNext/>
        <w:tabs>
          <w:tab w:val="left" w:pos="1134"/>
        </w:tabs>
        <w:autoSpaceDE w:val="0"/>
      </w:pPr>
      <w:r>
        <w:rPr>
          <w:rFonts w:eastAsia="標楷體" w:hint="eastAsia"/>
          <w:b/>
          <w:color w:val="000000"/>
          <w:kern w:val="0"/>
        </w:rPr>
        <w:br/>
      </w:r>
      <w:r w:rsidRPr="00A2654C">
        <w:rPr>
          <w:b/>
        </w:rPr>
        <w:t xml:space="preserve">Article 3: </w:t>
      </w:r>
      <w:r w:rsidRPr="00A2654C">
        <w:rPr>
          <w:b/>
        </w:rPr>
        <w:tab/>
        <w:t>Study Duration</w:t>
      </w:r>
    </w:p>
    <w:p w14:paraId="4B72CB23" w14:textId="3B860C50" w:rsidR="00CC7BE4" w:rsidRPr="00AC509C" w:rsidRDefault="006757D1" w:rsidP="00984DEF">
      <w:pPr>
        <w:pStyle w:val="Standard"/>
        <w:numPr>
          <w:ilvl w:val="1"/>
          <w:numId w:val="48"/>
        </w:numPr>
        <w:autoSpaceDE w:val="0"/>
      </w:pPr>
      <w:r w:rsidRPr="00A2654C">
        <w:t xml:space="preserve">The Study is expected to be initiated from </w:t>
      </w:r>
      <w:r w:rsidR="00AA6489">
        <w:rPr>
          <w:rFonts w:eastAsia="標楷體"/>
          <w:color w:val="000000"/>
          <w:kern w:val="0"/>
        </w:rPr>
        <w:t xml:space="preserve">                   </w:t>
      </w:r>
      <w:r w:rsidRPr="00A2654C">
        <w:t xml:space="preserve"> to</w:t>
      </w:r>
      <w:r w:rsidR="00AA6489">
        <w:rPr>
          <w:rFonts w:eastAsia="標楷體"/>
          <w:color w:val="000000"/>
          <w:kern w:val="0"/>
        </w:rPr>
        <w:t xml:space="preserve">         </w:t>
      </w:r>
      <w:bookmarkStart w:id="3" w:name="_GoBack"/>
      <w:bookmarkEnd w:id="3"/>
      <w:r w:rsidR="00AA6489">
        <w:rPr>
          <w:rFonts w:eastAsia="標楷體"/>
          <w:color w:val="000000"/>
          <w:kern w:val="0"/>
        </w:rPr>
        <w:t xml:space="preserve">        </w:t>
      </w:r>
      <w:r w:rsidRPr="00A2654C">
        <w:t>.</w:t>
      </w:r>
    </w:p>
    <w:p w14:paraId="0DE7CC3E" w14:textId="77AC30A0" w:rsidR="00CC7BE4" w:rsidRPr="00AC509C" w:rsidRDefault="006757D1" w:rsidP="00984DEF">
      <w:pPr>
        <w:pStyle w:val="Standard"/>
        <w:numPr>
          <w:ilvl w:val="1"/>
          <w:numId w:val="48"/>
        </w:numPr>
        <w:autoSpaceDE w:val="0"/>
        <w:ind w:left="1134" w:hanging="652"/>
      </w:pPr>
      <w:r w:rsidRPr="00A2654C">
        <w:t>Any need for an extension or change of the Study duration shall require written consents from both Party A and Party B.</w:t>
      </w:r>
    </w:p>
    <w:p w14:paraId="786A2BDF" w14:textId="7B68E16A" w:rsidR="00CC7BE4" w:rsidRPr="00AC509C" w:rsidRDefault="006757D1" w:rsidP="0091636A">
      <w:pPr>
        <w:pStyle w:val="Standard"/>
        <w:keepNext/>
        <w:tabs>
          <w:tab w:val="left" w:pos="1134"/>
        </w:tabs>
        <w:autoSpaceDE w:val="0"/>
      </w:pPr>
      <w:r>
        <w:rPr>
          <w:rFonts w:eastAsia="標楷體" w:hint="eastAsia"/>
          <w:b/>
          <w:color w:val="000000"/>
        </w:rPr>
        <w:br/>
      </w:r>
      <w:r w:rsidRPr="00A2654C">
        <w:rPr>
          <w:b/>
        </w:rPr>
        <w:t xml:space="preserve">Article 4: </w:t>
      </w:r>
      <w:r w:rsidRPr="00A2654C">
        <w:rPr>
          <w:b/>
        </w:rPr>
        <w:tab/>
        <w:t>Study Budget</w:t>
      </w:r>
    </w:p>
    <w:p w14:paraId="1C2212C2" w14:textId="35BFB248" w:rsidR="00CC7BE4" w:rsidRPr="000862E3" w:rsidRDefault="006757D1" w:rsidP="00984DEF">
      <w:pPr>
        <w:pStyle w:val="Standard"/>
        <w:numPr>
          <w:ilvl w:val="1"/>
          <w:numId w:val="48"/>
        </w:numPr>
        <w:autoSpaceDE w:val="0"/>
        <w:ind w:left="1134" w:hanging="652"/>
      </w:pPr>
      <w:r w:rsidRPr="000862E3">
        <w:t xml:space="preserve">Party B shall pay an amount of NTD </w:t>
      </w:r>
      <w:r w:rsidRPr="000862E3">
        <w:rPr>
          <w:rFonts w:eastAsia="標楷體"/>
          <w:color w:val="000000"/>
          <w:kern w:val="0"/>
        </w:rPr>
        <w:t>   </w:t>
      </w:r>
      <w:proofErr w:type="gramStart"/>
      <w:r w:rsidRPr="000862E3">
        <w:rPr>
          <w:rFonts w:eastAsia="標楷體"/>
          <w:color w:val="000000"/>
          <w:kern w:val="0"/>
        </w:rPr>
        <w:t>  </w:t>
      </w:r>
      <w:r w:rsidRPr="000862E3">
        <w:t xml:space="preserve"> (</w:t>
      </w:r>
      <w:proofErr w:type="gramEnd"/>
      <w:r w:rsidRPr="000862E3">
        <w:t xml:space="preserve">exclusive of VAT; and the same shall apply below) as the study budget required for the Study. Party B shall also make payments for any </w:t>
      </w:r>
      <w:r w:rsidR="00AF39D9" w:rsidRPr="000862E3">
        <w:t>“</w:t>
      </w:r>
      <w:r w:rsidRPr="000862E3">
        <w:t>Other Study-related Fees (Per Occurrence)</w:t>
      </w:r>
      <w:r w:rsidR="00AF39D9" w:rsidRPr="000862E3">
        <w:t>”</w:t>
      </w:r>
      <w:r w:rsidRPr="000862E3">
        <w:t xml:space="preserve"> incurred during the conduct of the Study. The aforesaid study budget as required for the Study and </w:t>
      </w:r>
      <w:r w:rsidR="00AF39D9" w:rsidRPr="000862E3">
        <w:t>“</w:t>
      </w:r>
      <w:r w:rsidRPr="000862E3">
        <w:t>Other Study-related Fees (Per Occurrence)</w:t>
      </w:r>
      <w:r w:rsidR="00AF39D9" w:rsidRPr="000862E3">
        <w:t>”</w:t>
      </w:r>
      <w:r w:rsidRPr="000862E3">
        <w:t xml:space="preserve"> shall collectively be referred to as </w:t>
      </w:r>
      <w:r w:rsidR="00AF39D9" w:rsidRPr="000862E3">
        <w:t>“</w:t>
      </w:r>
      <w:r w:rsidRPr="000862E3">
        <w:t>Study Budget</w:t>
      </w:r>
      <w:r w:rsidR="00AF39D9" w:rsidRPr="000862E3">
        <w:t>”</w:t>
      </w:r>
      <w:r w:rsidRPr="000862E3">
        <w:t xml:space="preserve">, their details and contents are as shown in the Appendix 2 (the </w:t>
      </w:r>
      <w:r w:rsidR="00AF39D9" w:rsidRPr="000862E3">
        <w:t>“</w:t>
      </w:r>
      <w:r w:rsidRPr="000862E3">
        <w:t>Budget Table</w:t>
      </w:r>
      <w:r w:rsidR="00AF39D9" w:rsidRPr="000862E3">
        <w:t>”</w:t>
      </w:r>
      <w:r w:rsidRPr="000862E3">
        <w:t>).</w:t>
      </w:r>
    </w:p>
    <w:p w14:paraId="623662FB" w14:textId="40E07B05" w:rsidR="00CC7BE4" w:rsidRPr="00AC509C" w:rsidRDefault="006757D1" w:rsidP="00984DEF">
      <w:pPr>
        <w:pStyle w:val="Standard"/>
        <w:numPr>
          <w:ilvl w:val="1"/>
          <w:numId w:val="48"/>
        </w:numPr>
        <w:autoSpaceDE w:val="0"/>
        <w:ind w:left="1134" w:hanging="652"/>
        <w:rPr>
          <w:rFonts w:eastAsia="標楷體"/>
          <w:color w:val="000000"/>
          <w:kern w:val="0"/>
        </w:rPr>
      </w:pPr>
      <w:r w:rsidRPr="00A2654C">
        <w:t>Any taxes or transaction fees arising out of the Agreement shall be borne by Party B.</w:t>
      </w:r>
    </w:p>
    <w:p w14:paraId="5B803476" w14:textId="62C58ADD" w:rsidR="00CC7BE4" w:rsidRPr="00AC509C" w:rsidRDefault="006757D1" w:rsidP="00984DEF">
      <w:pPr>
        <w:pStyle w:val="Standard"/>
        <w:numPr>
          <w:ilvl w:val="1"/>
          <w:numId w:val="48"/>
        </w:numPr>
        <w:autoSpaceDE w:val="0"/>
        <w:ind w:left="1134" w:hanging="652"/>
      </w:pPr>
      <w:r w:rsidRPr="00A2654C">
        <w:t>The Study Budget shall be planned and utilize</w:t>
      </w:r>
      <w:r w:rsidR="00246600">
        <w:rPr>
          <w:rFonts w:eastAsiaTheme="minorEastAsia" w:hint="eastAsia"/>
        </w:rPr>
        <w:t>d</w:t>
      </w:r>
      <w:r w:rsidRPr="00A2654C">
        <w:t xml:space="preserve"> by Party A. After the commencement of the Study, Party B may no longer request for return of any non-refundable fees listed in the Budget Table.</w:t>
      </w:r>
    </w:p>
    <w:p w14:paraId="606987AE" w14:textId="603FEF63" w:rsidR="00CC7BE4" w:rsidRPr="00AC509C" w:rsidRDefault="006757D1" w:rsidP="00984DEF">
      <w:pPr>
        <w:pStyle w:val="Standard"/>
        <w:numPr>
          <w:ilvl w:val="1"/>
          <w:numId w:val="48"/>
        </w:numPr>
        <w:autoSpaceDE w:val="0"/>
        <w:ind w:left="1134" w:hanging="652"/>
      </w:pPr>
      <w:r w:rsidRPr="00A2654C">
        <w:t>If Party A or Party B, due to any actual circumstance, believes the Study Budget requires further adjustments, it shall provide relevant information to the other Party during the Study, and adjust the Study Budget after obtaining the other Party</w:t>
      </w:r>
      <w:r w:rsidR="00C31F26">
        <w:t>’</w:t>
      </w:r>
      <w:r w:rsidRPr="00A2654C">
        <w:t>s written consent.</w:t>
      </w:r>
    </w:p>
    <w:p w14:paraId="14EC70A1" w14:textId="72292AAC" w:rsidR="00CC7BE4" w:rsidRPr="00AC509C" w:rsidRDefault="006757D1" w:rsidP="00383096">
      <w:pPr>
        <w:pStyle w:val="Standard"/>
        <w:keepNext/>
        <w:tabs>
          <w:tab w:val="left" w:pos="1134"/>
        </w:tabs>
        <w:autoSpaceDE w:val="0"/>
      </w:pPr>
      <w:r>
        <w:rPr>
          <w:rFonts w:eastAsia="標楷體" w:hint="eastAsia"/>
          <w:b/>
          <w:color w:val="000000"/>
        </w:rPr>
        <w:br/>
      </w:r>
      <w:r w:rsidRPr="00A2654C">
        <w:rPr>
          <w:b/>
        </w:rPr>
        <w:t xml:space="preserve">Article 5: </w:t>
      </w:r>
      <w:r w:rsidRPr="00A2654C">
        <w:rPr>
          <w:b/>
        </w:rPr>
        <w:tab/>
        <w:t>Payment Method</w:t>
      </w:r>
    </w:p>
    <w:p w14:paraId="4DA98C21" w14:textId="4FB40612" w:rsidR="00CC7BE4" w:rsidRPr="00490128" w:rsidRDefault="006757D1" w:rsidP="00984DEF">
      <w:pPr>
        <w:pStyle w:val="Standard"/>
        <w:numPr>
          <w:ilvl w:val="1"/>
          <w:numId w:val="49"/>
        </w:numPr>
        <w:autoSpaceDE w:val="0"/>
      </w:pPr>
      <w:r w:rsidRPr="00A2654C">
        <w:t xml:space="preserve">Party B shall pay the Study Budget to Taipei Medical University in installments according to the requirements stated in the Budget Table and this Article. If Party B fails to perform its payment obligation under the Agreement, Party A may impose a delay punitive damage at the rate of 1% of the total Study Budget for each day of delay, with a </w:t>
      </w:r>
      <w:r w:rsidRPr="00490128">
        <w:t>maximum delay punitive damage of 20% of the total Study Budget, however.</w:t>
      </w:r>
    </w:p>
    <w:p w14:paraId="7C71BE4D" w14:textId="059F3693" w:rsidR="00CC7BE4" w:rsidRPr="00490128" w:rsidRDefault="006757D1" w:rsidP="00984DEF">
      <w:pPr>
        <w:pStyle w:val="Standard"/>
        <w:numPr>
          <w:ilvl w:val="2"/>
          <w:numId w:val="49"/>
        </w:numPr>
        <w:tabs>
          <w:tab w:val="left" w:pos="3120"/>
        </w:tabs>
        <w:autoSpaceDE w:val="0"/>
        <w:ind w:left="1560" w:hanging="369"/>
      </w:pPr>
      <w:r w:rsidRPr="00490128">
        <w:t xml:space="preserve">The 1st Installment Payment: NTD </w:t>
      </w:r>
      <w:r w:rsidRPr="00490128">
        <w:rPr>
          <w:rFonts w:eastAsia="標楷體"/>
          <w:color w:val="000000"/>
          <w:kern w:val="0"/>
        </w:rPr>
        <w:t>   </w:t>
      </w:r>
      <w:proofErr w:type="gramStart"/>
      <w:r w:rsidRPr="00490128">
        <w:rPr>
          <w:rFonts w:eastAsia="標楷體"/>
          <w:color w:val="000000"/>
          <w:kern w:val="0"/>
        </w:rPr>
        <w:t>  </w:t>
      </w:r>
      <w:r w:rsidRPr="00490128">
        <w:t>.</w:t>
      </w:r>
      <w:proofErr w:type="gramEnd"/>
      <w:r w:rsidRPr="00490128">
        <w:t xml:space="preserve"> Party B shall make a single payment to Taipei Medical University by the immediate </w:t>
      </w:r>
      <w:proofErr w:type="spellStart"/>
      <w:r w:rsidRPr="00490128">
        <w:t>cheque</w:t>
      </w:r>
      <w:proofErr w:type="spellEnd"/>
      <w:r w:rsidRPr="00490128">
        <w:t xml:space="preserve"> or wire transfer within thirty (30) days upon the execution of the Agreement.</w:t>
      </w:r>
    </w:p>
    <w:p w14:paraId="329E9AE4" w14:textId="55D19C36" w:rsidR="00CC7BE4" w:rsidRPr="00AC509C" w:rsidRDefault="006757D1" w:rsidP="00984DEF">
      <w:pPr>
        <w:pStyle w:val="Standard"/>
        <w:numPr>
          <w:ilvl w:val="2"/>
          <w:numId w:val="49"/>
        </w:numPr>
        <w:tabs>
          <w:tab w:val="left" w:pos="3120"/>
        </w:tabs>
        <w:autoSpaceDE w:val="0"/>
        <w:ind w:left="1560" w:hanging="369"/>
      </w:pPr>
      <w:r w:rsidRPr="00A2654C">
        <w:t>The 2nd Installment and Subsequent Installment Payments: Party B shall make a single payment of the respective installment in accordance with the payment deadline, amount payable and payment methods as specified in the payment notice issued by Taipei Medical University.</w:t>
      </w:r>
    </w:p>
    <w:p w14:paraId="09A8EDAE" w14:textId="59B4F5FD" w:rsidR="00CC7BE4" w:rsidRPr="00AC509C" w:rsidRDefault="006757D1" w:rsidP="00984DEF">
      <w:pPr>
        <w:pStyle w:val="Standard"/>
        <w:numPr>
          <w:ilvl w:val="1"/>
          <w:numId w:val="49"/>
        </w:numPr>
        <w:autoSpaceDE w:val="0"/>
        <w:ind w:left="1134" w:hanging="652"/>
      </w:pPr>
      <w:r w:rsidRPr="00A2654C">
        <w:t xml:space="preserve">At the end of the Study, Taipei Medical University will perform the reconciliation of Study Budget in accordance with the requirements of the Budget Table against with the actual conduct of the Study. Upon the reconciliation, if the Study Budget is remaining, it </w:t>
      </w:r>
      <w:r w:rsidRPr="00A2654C">
        <w:lastRenderedPageBreak/>
        <w:t>will be returned by Taipei Medical University. Any deficiency upon the reconciliation shall by supplemented by Party B.</w:t>
      </w:r>
    </w:p>
    <w:p w14:paraId="30B2DF50" w14:textId="77777777" w:rsidR="00CC7BE4" w:rsidRPr="00AC509C" w:rsidRDefault="00CC7BE4" w:rsidP="006757D1">
      <w:pPr>
        <w:pStyle w:val="-11"/>
        <w:autoSpaceDE w:val="0"/>
        <w:ind w:left="960"/>
        <w:rPr>
          <w:rFonts w:eastAsia="標楷體"/>
          <w:b/>
          <w:color w:val="000000"/>
          <w:kern w:val="0"/>
        </w:rPr>
      </w:pPr>
    </w:p>
    <w:p w14:paraId="592DD541" w14:textId="2796F53D" w:rsidR="00CC7BE4" w:rsidRPr="00AC509C" w:rsidRDefault="006757D1" w:rsidP="00490128">
      <w:pPr>
        <w:pStyle w:val="Standard"/>
        <w:keepNext/>
        <w:tabs>
          <w:tab w:val="left" w:pos="1134"/>
        </w:tabs>
        <w:autoSpaceDE w:val="0"/>
      </w:pPr>
      <w:r>
        <w:rPr>
          <w:rFonts w:eastAsia="標楷體" w:hint="eastAsia"/>
          <w:b/>
          <w:color w:val="000000"/>
          <w:kern w:val="0"/>
        </w:rPr>
        <w:br/>
      </w:r>
      <w:r w:rsidRPr="00A2654C">
        <w:rPr>
          <w:b/>
        </w:rPr>
        <w:t xml:space="preserve">Article 6: </w:t>
      </w:r>
      <w:r w:rsidRPr="00A2654C">
        <w:rPr>
          <w:b/>
        </w:rPr>
        <w:tab/>
        <w:t>Provision of Study Materials and Information</w:t>
      </w:r>
    </w:p>
    <w:p w14:paraId="4E5B0C9C" w14:textId="539AB5DE" w:rsidR="00CC7BE4" w:rsidRPr="00AC509C" w:rsidRDefault="006757D1" w:rsidP="00984DEF">
      <w:pPr>
        <w:pStyle w:val="Standard"/>
        <w:numPr>
          <w:ilvl w:val="1"/>
          <w:numId w:val="50"/>
        </w:numPr>
        <w:autoSpaceDE w:val="0"/>
        <w:ind w:left="1134" w:hanging="652"/>
      </w:pPr>
      <w:r w:rsidRPr="00A2654C">
        <w:t>Party B shall provide Party A with sufficient amounts of study products, equipment, devices and information as stipulated in the Protocol for the conduct of the Study. Except as otherwise stated herein, the ownership of such materials and information will be owned by Party B.</w:t>
      </w:r>
    </w:p>
    <w:p w14:paraId="15FF8907" w14:textId="65A0333A" w:rsidR="00CC7BE4" w:rsidRPr="00AC509C" w:rsidRDefault="006757D1" w:rsidP="00984DEF">
      <w:pPr>
        <w:pStyle w:val="Standard"/>
        <w:numPr>
          <w:ilvl w:val="1"/>
          <w:numId w:val="50"/>
        </w:numPr>
        <w:autoSpaceDE w:val="0"/>
        <w:ind w:left="1134" w:hanging="652"/>
      </w:pPr>
      <w:r w:rsidRPr="00A2654C">
        <w:t>The materials and information obtained under the preceding paragraph by Party A and its personnel associated with the conduct of the Study shall not be used for any purposes other than for this Study.</w:t>
      </w:r>
    </w:p>
    <w:p w14:paraId="0738888B" w14:textId="77777777" w:rsidR="00CC7BE4" w:rsidRPr="00AC509C" w:rsidRDefault="00CC7BE4" w:rsidP="006757D1">
      <w:pPr>
        <w:pStyle w:val="Standard"/>
        <w:autoSpaceDE w:val="0"/>
        <w:ind w:left="567"/>
        <w:rPr>
          <w:rFonts w:eastAsia="標楷體"/>
          <w:color w:val="000000"/>
        </w:rPr>
      </w:pPr>
    </w:p>
    <w:p w14:paraId="1EDAFC6A" w14:textId="6FB59879" w:rsidR="00CC7BE4" w:rsidRPr="00AC509C" w:rsidRDefault="006757D1" w:rsidP="00490128">
      <w:pPr>
        <w:pStyle w:val="Standard"/>
        <w:keepNext/>
        <w:tabs>
          <w:tab w:val="left" w:pos="1134"/>
        </w:tabs>
        <w:autoSpaceDE w:val="0"/>
      </w:pPr>
      <w:r>
        <w:rPr>
          <w:rFonts w:eastAsia="標楷體" w:hint="eastAsia"/>
          <w:b/>
          <w:color w:val="000000"/>
          <w:kern w:val="0"/>
        </w:rPr>
        <w:br/>
      </w:r>
      <w:r w:rsidRPr="00A2654C">
        <w:rPr>
          <w:b/>
        </w:rPr>
        <w:t xml:space="preserve">Article 7: </w:t>
      </w:r>
      <w:r w:rsidRPr="00A2654C">
        <w:rPr>
          <w:b/>
        </w:rPr>
        <w:tab/>
        <w:t>Understanding and Assistance during the conduct of the Agreement</w:t>
      </w:r>
    </w:p>
    <w:p w14:paraId="52121FA9" w14:textId="41A610D7" w:rsidR="00CC7BE4" w:rsidRPr="00AC509C" w:rsidRDefault="006757D1" w:rsidP="00984DEF">
      <w:pPr>
        <w:pStyle w:val="Standard"/>
        <w:numPr>
          <w:ilvl w:val="1"/>
          <w:numId w:val="51"/>
        </w:numPr>
        <w:autoSpaceDE w:val="0"/>
        <w:ind w:left="1134" w:hanging="652"/>
      </w:pPr>
      <w:r w:rsidRPr="00A2654C">
        <w:t>If Party B needs to know the implementation status during the course of the Study, it shall inform Party A fifteen (15) days in advance of its intent. Party A shall do its best effort to provide assistance, give detailed explanation and provide the relevant data.</w:t>
      </w:r>
    </w:p>
    <w:p w14:paraId="1C55763B" w14:textId="7B0FE22F" w:rsidR="00CC7BE4" w:rsidRPr="00AC509C" w:rsidRDefault="006757D1" w:rsidP="00984DEF">
      <w:pPr>
        <w:pStyle w:val="Standard"/>
        <w:numPr>
          <w:ilvl w:val="1"/>
          <w:numId w:val="51"/>
        </w:numPr>
        <w:autoSpaceDE w:val="0"/>
        <w:ind w:left="1134" w:hanging="652"/>
      </w:pPr>
      <w:r w:rsidRPr="00A2654C">
        <w:t xml:space="preserve">If, during the conduct of the Study, Party A </w:t>
      </w:r>
      <w:proofErr w:type="gramStart"/>
      <w:r w:rsidRPr="00A2654C">
        <w:t>needs</w:t>
      </w:r>
      <w:proofErr w:type="gramEnd"/>
      <w:r w:rsidRPr="00A2654C">
        <w:t xml:space="preserve"> Party B to provide personnel, study materials and information, as well as assistance in other relevant matters, as necessary for the Study, Party B shall do its best effort to cooperate with Party A.</w:t>
      </w:r>
    </w:p>
    <w:p w14:paraId="15A57520" w14:textId="469AACC3" w:rsidR="00CC7BE4" w:rsidRPr="00AC509C" w:rsidRDefault="006757D1" w:rsidP="00984DEF">
      <w:pPr>
        <w:pStyle w:val="Standard"/>
        <w:numPr>
          <w:ilvl w:val="1"/>
          <w:numId w:val="51"/>
        </w:numPr>
        <w:autoSpaceDE w:val="0"/>
        <w:ind w:left="1134" w:hanging="652"/>
      </w:pPr>
      <w:r w:rsidRPr="00A2654C">
        <w:t>Party B shall cooperate with Party A in any audit of clinical trials.</w:t>
      </w:r>
    </w:p>
    <w:p w14:paraId="078B0F3D" w14:textId="12ED62BC" w:rsidR="00CC7BE4" w:rsidRPr="00AC509C" w:rsidRDefault="006757D1" w:rsidP="00984DEF">
      <w:pPr>
        <w:pStyle w:val="Standard"/>
        <w:numPr>
          <w:ilvl w:val="1"/>
          <w:numId w:val="51"/>
        </w:numPr>
        <w:autoSpaceDE w:val="0"/>
        <w:ind w:left="1134" w:hanging="652"/>
      </w:pPr>
      <w:r w:rsidRPr="00A2654C">
        <w:t>The Agreement shall not be construed as limitation of freedom to Party A and its personnel associated with the conduct of the Study (whether such personnel is under payroll or not) of participating in similar cases other than those of the Agreement or Party B.</w:t>
      </w:r>
    </w:p>
    <w:p w14:paraId="7CD45CFD" w14:textId="77777777" w:rsidR="00CC7BE4" w:rsidRPr="00AC509C" w:rsidRDefault="00CC7BE4">
      <w:pPr>
        <w:pStyle w:val="Standard"/>
        <w:autoSpaceDE w:val="0"/>
        <w:ind w:left="567"/>
        <w:jc w:val="both"/>
        <w:rPr>
          <w:rFonts w:eastAsia="標楷體"/>
          <w:color w:val="000000"/>
          <w:kern w:val="0"/>
        </w:rPr>
      </w:pPr>
    </w:p>
    <w:p w14:paraId="7A006133" w14:textId="54D65DFD" w:rsidR="00CC7BE4" w:rsidRPr="00AC509C" w:rsidRDefault="006757D1" w:rsidP="00DD0AE5">
      <w:pPr>
        <w:pStyle w:val="Standard"/>
        <w:keepNext/>
        <w:tabs>
          <w:tab w:val="left" w:pos="1134"/>
        </w:tabs>
        <w:autoSpaceDE w:val="0"/>
      </w:pPr>
      <w:r>
        <w:rPr>
          <w:rFonts w:eastAsia="標楷體" w:hint="eastAsia"/>
          <w:b/>
          <w:color w:val="000000"/>
          <w:kern w:val="0"/>
        </w:rPr>
        <w:br/>
      </w:r>
      <w:r w:rsidRPr="006757D1">
        <w:rPr>
          <w:rFonts w:eastAsia="標楷體"/>
          <w:b/>
          <w:color w:val="000000"/>
          <w:kern w:val="0"/>
        </w:rPr>
        <w:t>Article</w:t>
      </w:r>
      <w:r w:rsidRPr="00A2654C">
        <w:rPr>
          <w:b/>
        </w:rPr>
        <w:t xml:space="preserve"> 8: </w:t>
      </w:r>
      <w:r w:rsidRPr="00A2654C">
        <w:rPr>
          <w:b/>
        </w:rPr>
        <w:tab/>
        <w:t>Confidentiality Obligation</w:t>
      </w:r>
    </w:p>
    <w:p w14:paraId="7B9DD523" w14:textId="5F34F971" w:rsidR="00CC7BE4" w:rsidRPr="00AC509C" w:rsidRDefault="006757D1" w:rsidP="00984DEF">
      <w:pPr>
        <w:pStyle w:val="Standard"/>
        <w:numPr>
          <w:ilvl w:val="1"/>
          <w:numId w:val="52"/>
        </w:numPr>
        <w:autoSpaceDE w:val="0"/>
        <w:ind w:left="1134" w:hanging="652"/>
      </w:pPr>
      <w:r w:rsidRPr="00A2654C">
        <w:t>Both Party A and Party B agree that they will, with the due care of a good administrator, maintain and securely protect any and all confidential information and other relevant data (including this Agreement) that they know or possess as a result of the Study</w:t>
      </w:r>
      <w:r w:rsidR="00C44E7C" w:rsidRPr="008419D5">
        <w:rPr>
          <w:rFonts w:hint="eastAsia"/>
        </w:rPr>
        <w:t>.</w:t>
      </w:r>
      <w:r w:rsidRPr="00A2654C">
        <w:t xml:space="preserve"> They will not disclose or provide such information to any third party without the other Party</w:t>
      </w:r>
      <w:r w:rsidR="00C31F26">
        <w:t>’</w:t>
      </w:r>
      <w:r w:rsidRPr="00A2654C">
        <w:t>s written consent.</w:t>
      </w:r>
    </w:p>
    <w:p w14:paraId="7106AA68" w14:textId="1FA4C029" w:rsidR="00CC7BE4" w:rsidRPr="00AC509C" w:rsidRDefault="006757D1" w:rsidP="00984DEF">
      <w:pPr>
        <w:pStyle w:val="Standard"/>
        <w:numPr>
          <w:ilvl w:val="1"/>
          <w:numId w:val="52"/>
        </w:numPr>
        <w:autoSpaceDE w:val="0"/>
        <w:ind w:left="1134" w:hanging="652"/>
      </w:pPr>
      <w:r w:rsidRPr="00A2654C">
        <w:t>Both Party A and Party B agree and undertake that all confidential information that they know or possess through the Study shall be used only for the legitimate purposes as contemplated in this Agreement, and only the individuals who are directly responsible for the performance of the Agreement have the right to access such confidential information. In the meantime, such individuals shall also be requested to maintain the same degree of confidentiality obligation hereunder.</w:t>
      </w:r>
    </w:p>
    <w:p w14:paraId="27C43A04" w14:textId="71AA3ABA" w:rsidR="00CC7BE4" w:rsidRPr="00AC509C" w:rsidRDefault="006757D1" w:rsidP="00984DEF">
      <w:pPr>
        <w:pStyle w:val="Standard"/>
        <w:numPr>
          <w:ilvl w:val="1"/>
          <w:numId w:val="52"/>
        </w:numPr>
        <w:autoSpaceDE w:val="0"/>
        <w:ind w:left="1134" w:hanging="652"/>
      </w:pPr>
      <w:r w:rsidRPr="00A2654C">
        <w:t>Both Party A and Party B agree and undertake that, during the term of this Agreement and after its expiration, termination or cancellation, they shall not neither disclose or provide any confidential information nor disclose all study subjects</w:t>
      </w:r>
      <w:r w:rsidR="00C31F26">
        <w:t>’</w:t>
      </w:r>
      <w:r w:rsidRPr="00A2654C">
        <w:t xml:space="preserve"> names or medical record numbers which may link to their identities or health conditions to any third party, except that such information is required by laws or regulatory authorities. </w:t>
      </w:r>
    </w:p>
    <w:p w14:paraId="2DF26407" w14:textId="77777777" w:rsidR="00CC7BE4" w:rsidRPr="00AC509C" w:rsidRDefault="00CC7BE4" w:rsidP="006757D1">
      <w:pPr>
        <w:pStyle w:val="Standard"/>
        <w:autoSpaceDE w:val="0"/>
        <w:ind w:left="567"/>
        <w:rPr>
          <w:rFonts w:eastAsia="標楷體"/>
          <w:color w:val="000000"/>
        </w:rPr>
      </w:pPr>
    </w:p>
    <w:p w14:paraId="25577975" w14:textId="40A52786" w:rsidR="00C31F26" w:rsidRPr="00C31F26" w:rsidRDefault="00C31F26" w:rsidP="003B529E">
      <w:pPr>
        <w:pStyle w:val="Standard"/>
        <w:keepNext/>
        <w:tabs>
          <w:tab w:val="left" w:pos="1134"/>
        </w:tabs>
        <w:autoSpaceDE w:val="0"/>
        <w:rPr>
          <w:rFonts w:eastAsia="標楷體"/>
          <w:b/>
          <w:color w:val="000000"/>
          <w:kern w:val="0"/>
        </w:rPr>
      </w:pPr>
      <w:r w:rsidRPr="00C31F26">
        <w:rPr>
          <w:rFonts w:eastAsia="標楷體" w:hint="eastAsia"/>
          <w:b/>
          <w:color w:val="000000"/>
          <w:kern w:val="0"/>
        </w:rPr>
        <w:br/>
      </w:r>
      <w:r w:rsidRPr="00A2654C">
        <w:rPr>
          <w:b/>
        </w:rPr>
        <w:t xml:space="preserve">Article 9: </w:t>
      </w:r>
      <w:r w:rsidRPr="00A2654C">
        <w:rPr>
          <w:b/>
        </w:rPr>
        <w:tab/>
        <w:t>Ownership and Interest of Study Results</w:t>
      </w:r>
    </w:p>
    <w:p w14:paraId="1D7CEC4F" w14:textId="7D707C76" w:rsidR="00CC7BE4" w:rsidRPr="00AC509C" w:rsidRDefault="00C31F26" w:rsidP="00984DEF">
      <w:pPr>
        <w:pStyle w:val="Standard"/>
        <w:numPr>
          <w:ilvl w:val="1"/>
          <w:numId w:val="53"/>
        </w:numPr>
        <w:autoSpaceDE w:val="0"/>
      </w:pPr>
      <w:r w:rsidRPr="00A2654C">
        <w:t>Study data and documentation obtained by the Principal Investigator from the conduct of the Study shall be jointly owned by Party A and Party B. Subject</w:t>
      </w:r>
      <w:r>
        <w:t>’</w:t>
      </w:r>
      <w:r w:rsidRPr="00A2654C">
        <w:t xml:space="preserve">s medical records, however, are owned by Party A. Upon the termination of the Study, the Principal Investigator shall retain and handle the source data of such study data and documentation </w:t>
      </w:r>
      <w:r w:rsidRPr="00A2654C">
        <w:lastRenderedPageBreak/>
        <w:t>in accordance with applicable laws and regulations.</w:t>
      </w:r>
    </w:p>
    <w:p w14:paraId="5C825409" w14:textId="7941E8AA" w:rsidR="00CC7BE4" w:rsidRPr="00AC509C" w:rsidRDefault="00C31F26" w:rsidP="00984DEF">
      <w:pPr>
        <w:pStyle w:val="Standard"/>
        <w:numPr>
          <w:ilvl w:val="1"/>
          <w:numId w:val="53"/>
        </w:numPr>
        <w:autoSpaceDE w:val="0"/>
        <w:ind w:left="1134" w:hanging="652"/>
      </w:pPr>
      <w:r w:rsidRPr="00A2654C">
        <w:t xml:space="preserve">The intellectual property right of any technology or its derivatives used in the conduct of the Study by Party A, and any rights derived therefrom shall be owned by Party A. For the ownership of any study results generated by the Study and the intellectual property rights thereof (hereinafter collectively as the </w:t>
      </w:r>
      <w:r w:rsidR="00AF39D9">
        <w:t>“</w:t>
      </w:r>
      <w:r w:rsidRPr="00A2654C">
        <w:t>Study Results</w:t>
      </w:r>
      <w:r w:rsidR="00AF39D9">
        <w:t>”</w:t>
      </w:r>
      <w:r w:rsidRPr="00A2654C">
        <w:t>), it is agreed as follows:</w:t>
      </w:r>
    </w:p>
    <w:p w14:paraId="0EDEC619" w14:textId="3934C279" w:rsidR="00CC7BE4" w:rsidRPr="00AC509C" w:rsidRDefault="00C31F26" w:rsidP="00C31F26">
      <w:pPr>
        <w:pStyle w:val="Standard"/>
        <w:autoSpaceDE w:val="0"/>
        <w:ind w:left="850"/>
      </w:pPr>
      <w:r w:rsidRPr="00AC509C">
        <w:rPr>
          <w:rFonts w:eastAsia="Times New Roman"/>
          <w:color w:val="000000"/>
        </w:rPr>
        <w:t xml:space="preserve"> </w:t>
      </w:r>
      <w:r w:rsidRPr="00A2654C">
        <w:t>The Study Results shall be owned by Party B.</w:t>
      </w:r>
    </w:p>
    <w:p w14:paraId="136264FB" w14:textId="1BD3EE0F" w:rsidR="00CC7BE4" w:rsidRPr="00AC509C" w:rsidRDefault="00B447DA" w:rsidP="00C31F26">
      <w:pPr>
        <w:pStyle w:val="Standard"/>
        <w:autoSpaceDE w:val="0"/>
        <w:ind w:left="1416" w:hanging="288"/>
      </w:pPr>
      <w:bookmarkStart w:id="4" w:name="_1661234391"/>
      <w:bookmarkEnd w:id="4"/>
      <w:r w:rsidRPr="00AC509C">
        <w:rPr>
          <w:rFonts w:eastAsia="標楷體"/>
          <w:color w:val="000000"/>
          <w:kern w:val="0"/>
        </w:rPr>
        <w:t xml:space="preserve">1. </w:t>
      </w:r>
      <w:r w:rsidR="00C31F26" w:rsidRPr="00A2654C">
        <w:t xml:space="preserve">The Study Results shall be jointly owned by Party A and Party B, with a distribution ratio in relation to interest derived </w:t>
      </w:r>
      <w:proofErr w:type="gramStart"/>
      <w:r w:rsidR="00C31F26" w:rsidRPr="00A2654C">
        <w:t xml:space="preserve">therefrom, </w:t>
      </w:r>
      <w:r w:rsidR="00C31F26" w:rsidRPr="00AC509C">
        <w:rPr>
          <w:rFonts w:eastAsia="標楷體"/>
          <w:color w:val="000000"/>
          <w:szCs w:val="36"/>
        </w:rPr>
        <w:t>  </w:t>
      </w:r>
      <w:proofErr w:type="gramEnd"/>
      <w:r w:rsidR="00C31F26" w:rsidRPr="00AC509C">
        <w:rPr>
          <w:rFonts w:eastAsia="標楷體"/>
          <w:color w:val="000000"/>
          <w:szCs w:val="36"/>
        </w:rPr>
        <w:t>   </w:t>
      </w:r>
      <w:r w:rsidR="00C31F26" w:rsidRPr="00A2654C">
        <w:t xml:space="preserve">% for Party A and </w:t>
      </w:r>
      <w:r w:rsidR="00C31F26" w:rsidRPr="00AC509C">
        <w:rPr>
          <w:rFonts w:eastAsia="標楷體"/>
          <w:color w:val="000000"/>
          <w:szCs w:val="36"/>
        </w:rPr>
        <w:t>     </w:t>
      </w:r>
      <w:r w:rsidR="00C31F26" w:rsidRPr="00A2654C">
        <w:t xml:space="preserve">% for Party B (the </w:t>
      </w:r>
      <w:r w:rsidR="00AF39D9">
        <w:t>“</w:t>
      </w:r>
      <w:r w:rsidR="00C31F26" w:rsidRPr="00A2654C">
        <w:t>IP Ownership Ratio</w:t>
      </w:r>
      <w:r w:rsidR="00AF39D9">
        <w:t>”</w:t>
      </w:r>
      <w:r w:rsidR="00C31F26" w:rsidRPr="00A2654C">
        <w:t>).</w:t>
      </w:r>
    </w:p>
    <w:p w14:paraId="40C8B7FE" w14:textId="443EC259" w:rsidR="00CC7BE4" w:rsidRPr="00AC509C" w:rsidRDefault="00B447DA" w:rsidP="006757D1">
      <w:pPr>
        <w:pStyle w:val="Standard"/>
        <w:autoSpaceDE w:val="0"/>
        <w:ind w:left="1416" w:hanging="288"/>
      </w:pPr>
      <w:r w:rsidRPr="00AC509C">
        <w:rPr>
          <w:rFonts w:eastAsia="標楷體"/>
          <w:color w:val="000000"/>
          <w:kern w:val="0"/>
        </w:rPr>
        <w:t xml:space="preserve">2. </w:t>
      </w:r>
      <w:r w:rsidR="001F4FC7" w:rsidRPr="00A2654C">
        <w:t>Once the other Party</w:t>
      </w:r>
      <w:r w:rsidR="001F4FC7">
        <w:t>’</w:t>
      </w:r>
      <w:r w:rsidR="001F4FC7" w:rsidRPr="00A2654C">
        <w:t xml:space="preserve">s written consent is obtained, Party A or Party B may submit applications to the competent authorities for intellectual property rights, such as patent and circuit layout rights with respect to the Study Results (the </w:t>
      </w:r>
      <w:r w:rsidR="00AF39D9">
        <w:t>“</w:t>
      </w:r>
      <w:r w:rsidR="001F4FC7" w:rsidRPr="00A2654C">
        <w:t>Intellectual Property Rights</w:t>
      </w:r>
      <w:r w:rsidR="00AF39D9">
        <w:t>”</w:t>
      </w:r>
      <w:r w:rsidR="001F4FC7" w:rsidRPr="00A2654C">
        <w:t xml:space="preserve">). The Parties shall share the payments for the application fees and maintenance expenses arising from such Intellectual Property Rights in accordance with the IP Ownership Ratio stated above or a ratio otherwise agreed upon. </w:t>
      </w:r>
    </w:p>
    <w:p w14:paraId="6F4757B3" w14:textId="1ECF3703" w:rsidR="00CC7BE4" w:rsidRPr="00AC509C" w:rsidRDefault="00B447DA" w:rsidP="001F4FC7">
      <w:pPr>
        <w:pStyle w:val="Standard"/>
        <w:autoSpaceDE w:val="0"/>
        <w:ind w:left="1416" w:hanging="288"/>
      </w:pPr>
      <w:r w:rsidRPr="00AC509C">
        <w:rPr>
          <w:rFonts w:eastAsia="標楷體"/>
          <w:color w:val="000000"/>
          <w:kern w:val="0"/>
        </w:rPr>
        <w:t xml:space="preserve">3. </w:t>
      </w:r>
      <w:r w:rsidR="001F4FC7" w:rsidRPr="00A2654C">
        <w:t>Neither Party may authorize or assign any of the Intellectual Property Rights resulting from the Study Results to any third party without the other Party</w:t>
      </w:r>
      <w:r w:rsidR="001F4FC7">
        <w:t>’</w:t>
      </w:r>
      <w:r w:rsidR="001F4FC7" w:rsidRPr="00A2654C">
        <w:t>s written consent; and without Party A</w:t>
      </w:r>
      <w:r w:rsidR="001F4FC7">
        <w:t>’</w:t>
      </w:r>
      <w:r w:rsidR="001F4FC7" w:rsidRPr="00A2654C">
        <w:t>s written consent, Party B may not implement any of the Intellectual Property Rights resulting from the Study Results on its own, except for its internal use.</w:t>
      </w:r>
    </w:p>
    <w:p w14:paraId="50F04F4A" w14:textId="02F04579" w:rsidR="00CC7BE4" w:rsidRPr="00AC509C" w:rsidRDefault="00B447DA" w:rsidP="000B4B3A">
      <w:pPr>
        <w:pStyle w:val="Standard"/>
        <w:autoSpaceDE w:val="0"/>
        <w:ind w:left="1416" w:hanging="288"/>
        <w:rPr>
          <w:rFonts w:eastAsia="標楷體"/>
          <w:color w:val="000000"/>
          <w:kern w:val="0"/>
        </w:rPr>
      </w:pPr>
      <w:r w:rsidRPr="00AC509C">
        <w:rPr>
          <w:rFonts w:eastAsia="標楷體"/>
          <w:color w:val="000000"/>
          <w:kern w:val="0"/>
        </w:rPr>
        <w:t xml:space="preserve">4. </w:t>
      </w:r>
      <w:r w:rsidR="001F4FC7" w:rsidRPr="00A2654C">
        <w:t>All substantive and procedural matters relating to the management, application and distribution of interest of Study Results shall be stipulated in a separate agreement.</w:t>
      </w:r>
    </w:p>
    <w:p w14:paraId="2E1EA8BE" w14:textId="35EFEEC4" w:rsidR="00CC7BE4" w:rsidRPr="00AC509C" w:rsidRDefault="000B4B3A" w:rsidP="003B529E">
      <w:pPr>
        <w:pStyle w:val="Standard"/>
        <w:keepNext/>
        <w:tabs>
          <w:tab w:val="left" w:pos="1134"/>
        </w:tabs>
        <w:autoSpaceDE w:val="0"/>
      </w:pPr>
      <w:r>
        <w:rPr>
          <w:rFonts w:eastAsia="標楷體" w:hint="eastAsia"/>
          <w:b/>
          <w:color w:val="000000"/>
          <w:kern w:val="0"/>
        </w:rPr>
        <w:br/>
      </w:r>
      <w:r w:rsidRPr="00A2654C">
        <w:rPr>
          <w:b/>
        </w:rPr>
        <w:t xml:space="preserve">Article 10: </w:t>
      </w:r>
      <w:r w:rsidRPr="00A2654C">
        <w:rPr>
          <w:b/>
        </w:rPr>
        <w:tab/>
        <w:t>Publication or release of Study Results</w:t>
      </w:r>
    </w:p>
    <w:p w14:paraId="693C5936" w14:textId="1452059E" w:rsidR="00CC7BE4" w:rsidRPr="00AC509C" w:rsidRDefault="000B4B3A" w:rsidP="00984DEF">
      <w:pPr>
        <w:pStyle w:val="Standard"/>
        <w:numPr>
          <w:ilvl w:val="1"/>
          <w:numId w:val="54"/>
        </w:numPr>
        <w:autoSpaceDE w:val="0"/>
        <w:ind w:left="1418" w:hanging="709"/>
      </w:pPr>
      <w:r w:rsidRPr="00A2654C">
        <w:t>Party A and the Principal Investigator are entitled to publish the Study Results; the copyright of such publication shall be owned by the presenter. The presenter, in its own discretion, may decide the content of its publication and the order of authorship, but clear acknowledgement of items provided and supported by Party B shall be specified. Such publication shall be notified to Party B fifteen (15) days prior to its publication, and will only be commenced upon Party B</w:t>
      </w:r>
      <w:r>
        <w:t>’</w:t>
      </w:r>
      <w:r w:rsidRPr="00A2654C">
        <w:t xml:space="preserve">s consent. If such publication is in the area of academic publication, Party B may not refuse the publication except for the content thereof involving any business secrets of Party B. </w:t>
      </w:r>
    </w:p>
    <w:p w14:paraId="4B3764CD" w14:textId="45FAD061" w:rsidR="00CC7BE4" w:rsidRPr="00AC509C" w:rsidRDefault="000B4B3A" w:rsidP="00984DEF">
      <w:pPr>
        <w:pStyle w:val="Standard"/>
        <w:numPr>
          <w:ilvl w:val="1"/>
          <w:numId w:val="54"/>
        </w:numPr>
        <w:autoSpaceDE w:val="0"/>
        <w:ind w:left="1418" w:hanging="709"/>
      </w:pPr>
      <w:r w:rsidRPr="00A2654C">
        <w:t>Party A and the Principal Investigator may use the study data, documentation and Study Results obtained from the conduct of the Study in compliance with their statutory obligations, or for the purpose of academic research or providing the subjects with treatment care.</w:t>
      </w:r>
    </w:p>
    <w:p w14:paraId="2722F3CD" w14:textId="5592DFDA" w:rsidR="00CC7BE4" w:rsidRPr="00AC509C" w:rsidRDefault="000B4B3A" w:rsidP="00984DEF">
      <w:pPr>
        <w:pStyle w:val="Standard"/>
        <w:numPr>
          <w:ilvl w:val="1"/>
          <w:numId w:val="54"/>
        </w:numPr>
        <w:autoSpaceDE w:val="0"/>
        <w:ind w:left="1418" w:hanging="709"/>
      </w:pPr>
      <w:r w:rsidRPr="00A2654C">
        <w:t>To the extent of the Study and its Study Results, except upon Party A</w:t>
      </w:r>
      <w:r>
        <w:t>’</w:t>
      </w:r>
      <w:r w:rsidRPr="00A2654C">
        <w:t>s prior written consent, Party B shall neither make any third party aware of any connection between Party A and Party B in any way (including but not limited to commercial promotion, e.g. public marketing, promotion or advertising materials, inner/outer packaging or web pages of products or services), nor use Party A</w:t>
      </w:r>
      <w:r>
        <w:t>’</w:t>
      </w:r>
      <w:r w:rsidRPr="00A2654C">
        <w:t>s faculty, staff, or their affiliations</w:t>
      </w:r>
      <w:r>
        <w:t>’</w:t>
      </w:r>
      <w:r w:rsidRPr="00A2654C">
        <w:t xml:space="preserve"> names, faculty logos, trademarks or other identifications publicly. However, such limitation shall not apply to the registration of the Study on the website as required by law, or on other websites requested by the guidelines of the International Committee of Medical Journal Editors (ICMJE), or the use thereof as required by any government authority.</w:t>
      </w:r>
    </w:p>
    <w:p w14:paraId="02EFC576" w14:textId="1CA1183B" w:rsidR="00CC7BE4" w:rsidRPr="00AC509C" w:rsidRDefault="00D83633" w:rsidP="00984DEF">
      <w:pPr>
        <w:pStyle w:val="Standard"/>
        <w:numPr>
          <w:ilvl w:val="1"/>
          <w:numId w:val="54"/>
        </w:numPr>
        <w:autoSpaceDE w:val="0"/>
        <w:ind w:left="1418" w:hanging="709"/>
      </w:pPr>
      <w:r w:rsidRPr="00A2654C">
        <w:t>Any breach of the preceding requirements by Party B shall be penalized with a punitive damage in the amount of 1.5 times the total Study Budget. For a punitive damage that is less than NTD 1,000,000 under the above calculation, it shall be imposed as NTD 1,000,000.</w:t>
      </w:r>
    </w:p>
    <w:p w14:paraId="4376E601" w14:textId="77777777" w:rsidR="00CC7BE4" w:rsidRPr="00AC509C" w:rsidRDefault="00CC7BE4" w:rsidP="000B4B3A">
      <w:pPr>
        <w:pStyle w:val="Standard"/>
        <w:autoSpaceDE w:val="0"/>
        <w:ind w:left="620" w:hanging="620"/>
        <w:rPr>
          <w:rFonts w:eastAsia="標楷體"/>
          <w:color w:val="000000"/>
        </w:rPr>
      </w:pPr>
    </w:p>
    <w:p w14:paraId="43629FAA" w14:textId="7304BE3D" w:rsidR="00CC7BE4" w:rsidRPr="00AC509C" w:rsidRDefault="00D83633" w:rsidP="006774BE">
      <w:pPr>
        <w:pStyle w:val="Standard"/>
        <w:keepNext/>
        <w:tabs>
          <w:tab w:val="left" w:pos="1134"/>
        </w:tabs>
        <w:autoSpaceDE w:val="0"/>
        <w:rPr>
          <w:rFonts w:eastAsia="標楷體"/>
          <w:b/>
          <w:color w:val="000000"/>
          <w:kern w:val="0"/>
        </w:rPr>
      </w:pPr>
      <w:r>
        <w:rPr>
          <w:rFonts w:eastAsia="標楷體" w:hint="eastAsia"/>
          <w:b/>
          <w:color w:val="000000"/>
          <w:kern w:val="0"/>
        </w:rPr>
        <w:lastRenderedPageBreak/>
        <w:br/>
      </w:r>
      <w:r w:rsidRPr="00A2654C">
        <w:rPr>
          <w:b/>
        </w:rPr>
        <w:t xml:space="preserve">Article 11: </w:t>
      </w:r>
      <w:r w:rsidRPr="00A2654C">
        <w:rPr>
          <w:b/>
        </w:rPr>
        <w:tab/>
      </w:r>
      <w:r>
        <w:rPr>
          <w:rFonts w:eastAsiaTheme="minorEastAsia" w:hint="eastAsia"/>
          <w:b/>
        </w:rPr>
        <w:tab/>
      </w:r>
      <w:r w:rsidRPr="00A2654C">
        <w:rPr>
          <w:b/>
        </w:rPr>
        <w:t>Specimens and Samples Collected in the Study</w:t>
      </w:r>
    </w:p>
    <w:p w14:paraId="39940B6F" w14:textId="3EC50648" w:rsidR="00CC7BE4" w:rsidRPr="00AC509C" w:rsidRDefault="00D83633" w:rsidP="000B4B3A">
      <w:pPr>
        <w:pStyle w:val="Standard"/>
        <w:autoSpaceDE w:val="0"/>
        <w:ind w:left="1418"/>
      </w:pPr>
      <w:r w:rsidRPr="00A2654C">
        <w:t>Except otherwise permitted to be retained or reused by law, or upon the study subject</w:t>
      </w:r>
      <w:r>
        <w:t>’</w:t>
      </w:r>
      <w:r w:rsidRPr="00A2654C">
        <w:t>s consent, any biological specimens, personal data or its derivatives of study subjects shall be destroyed immediately at the end of the Study.</w:t>
      </w:r>
    </w:p>
    <w:p w14:paraId="09F49E4C" w14:textId="063F5BB2" w:rsidR="00CC7BE4" w:rsidRPr="00AC509C" w:rsidRDefault="00C44473" w:rsidP="006774BE">
      <w:pPr>
        <w:pStyle w:val="Standard"/>
        <w:keepNext/>
        <w:tabs>
          <w:tab w:val="left" w:pos="1134"/>
        </w:tabs>
        <w:autoSpaceDE w:val="0"/>
        <w:rPr>
          <w:b/>
          <w:color w:val="000000"/>
          <w:kern w:val="0"/>
        </w:rPr>
      </w:pPr>
      <w:r>
        <w:rPr>
          <w:rFonts w:eastAsia="標楷體" w:hint="eastAsia"/>
          <w:b/>
          <w:color w:val="000000"/>
          <w:kern w:val="0"/>
        </w:rPr>
        <w:br/>
      </w:r>
      <w:r w:rsidRPr="00A2654C">
        <w:rPr>
          <w:b/>
        </w:rPr>
        <w:t xml:space="preserve">Article 12: </w:t>
      </w:r>
      <w:r w:rsidRPr="00A2654C">
        <w:rPr>
          <w:b/>
        </w:rPr>
        <w:tab/>
        <w:t>Reporting Obligation</w:t>
      </w:r>
    </w:p>
    <w:p w14:paraId="08698661" w14:textId="50C943F3" w:rsidR="00CC7BE4" w:rsidRPr="00AC509C" w:rsidRDefault="00C44473" w:rsidP="00984DEF">
      <w:pPr>
        <w:pStyle w:val="Standard"/>
        <w:numPr>
          <w:ilvl w:val="1"/>
          <w:numId w:val="55"/>
        </w:numPr>
        <w:autoSpaceDE w:val="0"/>
        <w:ind w:left="1418" w:hanging="709"/>
      </w:pPr>
      <w:r w:rsidRPr="00A2654C">
        <w:t>The Principal Investigator shall notify and make Party B aware within 24 hours of any serious adverse event such as death or life-threatening event of the subject occurring in the course of the Study, and shall provide assistance in the report to the competent authority. The Principal Investigator shall report to the Ethics Committee within seven (7) days of becoming aware of such event, and provide a written report within fifteen (15) days.</w:t>
      </w:r>
    </w:p>
    <w:p w14:paraId="5354F6A0" w14:textId="54F2915A" w:rsidR="00CC7BE4" w:rsidRPr="00AC509C" w:rsidRDefault="00C44473" w:rsidP="00984DEF">
      <w:pPr>
        <w:pStyle w:val="Standard"/>
        <w:numPr>
          <w:ilvl w:val="1"/>
          <w:numId w:val="55"/>
        </w:numPr>
        <w:autoSpaceDE w:val="0"/>
        <w:ind w:left="1418" w:hanging="709"/>
      </w:pPr>
      <w:r w:rsidRPr="00A2654C">
        <w:t>Any scheduled Data and Safety Monitoring Plan/Board (DSMP, DSMB/DMC or other similar boards) of Party B, if any, shall require to be reviewed and approved by the Ethics Committee. A routine monitoring report shall be provided to Party A within thirty (30) days after conduct of the monitoring for the Principal Investigator to send them along with the interim report to the Ethics Committee.</w:t>
      </w:r>
    </w:p>
    <w:p w14:paraId="7D864B96" w14:textId="778D221B" w:rsidR="00CC7BE4" w:rsidRPr="00AC509C" w:rsidRDefault="00C44473" w:rsidP="00984DEF">
      <w:pPr>
        <w:pStyle w:val="Standard"/>
        <w:numPr>
          <w:ilvl w:val="1"/>
          <w:numId w:val="55"/>
        </w:numPr>
        <w:autoSpaceDE w:val="0"/>
        <w:ind w:left="1418" w:hanging="709"/>
      </w:pPr>
      <w:r w:rsidRPr="00A2654C">
        <w:t>In the event of Party B</w:t>
      </w:r>
      <w:r>
        <w:t>’</w:t>
      </w:r>
      <w:r w:rsidRPr="00A2654C">
        <w:t>s monitoring activity becoming aware of any serious adverse reaction of the subject or any new finding that may harm the safety of the subject, or affect the conduct of the Study or the approval of the Ethics Committee to continue with the Study, Party B shall notify the Principal Investigator, Party A and the competent authority within seven (7) days of becoming aware thereof, and shall provide relevant written data within fifteen (15) days to Party A for its report to the Ethics Committee; Party B shall also report to the central competent health authority and the Ethics Committee in accordance with the prescribed scope and deadline of applicable laws and regulations of the Republic of China.</w:t>
      </w:r>
    </w:p>
    <w:p w14:paraId="240EB62D" w14:textId="3C0E7408" w:rsidR="00CC7BE4" w:rsidRPr="00AC509C" w:rsidRDefault="00C44473" w:rsidP="00984DEF">
      <w:pPr>
        <w:pStyle w:val="Standard"/>
        <w:numPr>
          <w:ilvl w:val="1"/>
          <w:numId w:val="55"/>
        </w:numPr>
        <w:autoSpaceDE w:val="0"/>
        <w:ind w:left="1418" w:hanging="709"/>
      </w:pPr>
      <w:r w:rsidRPr="00A2654C">
        <w:t>If Party B, within two (2) years after the end of the Study, becomes aware from the Study Results of any information that has direct impact on the subject safety, Party B shall report such finding to Party A within fifteen (15) days and provide subsequent handling measures.</w:t>
      </w:r>
    </w:p>
    <w:p w14:paraId="636F996A" w14:textId="55403B56" w:rsidR="00CC7BE4" w:rsidRPr="00AC509C" w:rsidRDefault="00C44473" w:rsidP="00984DEF">
      <w:pPr>
        <w:pStyle w:val="Standard"/>
        <w:numPr>
          <w:ilvl w:val="1"/>
          <w:numId w:val="55"/>
        </w:numPr>
        <w:autoSpaceDE w:val="0"/>
        <w:ind w:left="1418" w:hanging="709"/>
      </w:pPr>
      <w:r w:rsidRPr="00A2654C">
        <w:t>Party B shall submit relevant reports of the Study in accordance with the requirements of the Ethics Committee.</w:t>
      </w:r>
    </w:p>
    <w:p w14:paraId="71457BEE" w14:textId="6EF2E3E7" w:rsidR="00B617A4" w:rsidRPr="00B617A4" w:rsidRDefault="00B617A4" w:rsidP="005654C0">
      <w:pPr>
        <w:pStyle w:val="Standard"/>
        <w:keepNext/>
        <w:tabs>
          <w:tab w:val="left" w:pos="1134"/>
        </w:tabs>
        <w:autoSpaceDE w:val="0"/>
        <w:rPr>
          <w:b/>
          <w:color w:val="000000"/>
          <w:kern w:val="0"/>
        </w:rPr>
      </w:pPr>
      <w:r w:rsidRPr="00B617A4">
        <w:rPr>
          <w:rFonts w:eastAsia="標楷體" w:hint="eastAsia"/>
          <w:b/>
          <w:color w:val="000000"/>
          <w:kern w:val="0"/>
        </w:rPr>
        <w:br/>
      </w:r>
      <w:r w:rsidRPr="00B617A4">
        <w:rPr>
          <w:b/>
        </w:rPr>
        <w:t xml:space="preserve">Article 13: </w:t>
      </w:r>
      <w:r w:rsidRPr="00B617A4">
        <w:rPr>
          <w:b/>
        </w:rPr>
        <w:tab/>
        <w:t>Termination of this Agreement</w:t>
      </w:r>
    </w:p>
    <w:p w14:paraId="04C8FCAE" w14:textId="6C9143E8" w:rsidR="00CC7BE4" w:rsidRPr="00AC509C" w:rsidRDefault="00B617A4" w:rsidP="00984DEF">
      <w:pPr>
        <w:pStyle w:val="Standard"/>
        <w:numPr>
          <w:ilvl w:val="1"/>
          <w:numId w:val="56"/>
        </w:numPr>
        <w:autoSpaceDE w:val="0"/>
        <w:ind w:left="1418" w:hanging="709"/>
      </w:pPr>
      <w:r w:rsidRPr="00A2654C">
        <w:t>If it is not able to continue the conduct of this Agreement due to any reason from either party, this Agreement may be terminated by a thirty (30) - day prior written notice given by such party and after receiving the other party</w:t>
      </w:r>
      <w:r>
        <w:t>’</w:t>
      </w:r>
      <w:r w:rsidRPr="00A2654C">
        <w:t>s consent. However, if it is likely to endanger the subject</w:t>
      </w:r>
      <w:r>
        <w:t>’</w:t>
      </w:r>
      <w:r w:rsidRPr="00A2654C">
        <w:t>s safety, this Agreement shall be terminated forthwith after a notice is delivered to the other party. The same shall apply to the amendment.</w:t>
      </w:r>
    </w:p>
    <w:p w14:paraId="2D924E31" w14:textId="641F4D1A" w:rsidR="00CC7BE4" w:rsidRPr="00AC509C" w:rsidRDefault="003339F9" w:rsidP="00984DEF">
      <w:pPr>
        <w:pStyle w:val="Standard"/>
        <w:numPr>
          <w:ilvl w:val="1"/>
          <w:numId w:val="56"/>
        </w:numPr>
        <w:autoSpaceDE w:val="0"/>
        <w:ind w:left="1418" w:hanging="709"/>
      </w:pPr>
      <w:r w:rsidRPr="00A2654C">
        <w:t>Upon the termination of the Agreement as described above, Party B may not request for return of any non-refundable fees listed in the Budget Table or fees for items that are already performed. Both Party A and Party B agree to perform reconciliation of actual Study Budget spent in accordance with the standard of the subject enrollment as listed in the Budget Table against with the actual number of enrollment. Any overpayment will be refunded and a supplemental payment will be made for any deficiency.</w:t>
      </w:r>
    </w:p>
    <w:p w14:paraId="60CE835E" w14:textId="65F6298B" w:rsidR="00CC7BE4" w:rsidRPr="00AC509C" w:rsidRDefault="003339F9" w:rsidP="00984DEF">
      <w:pPr>
        <w:pStyle w:val="Standard"/>
        <w:numPr>
          <w:ilvl w:val="1"/>
          <w:numId w:val="56"/>
        </w:numPr>
        <w:autoSpaceDE w:val="0"/>
        <w:ind w:left="1418" w:hanging="709"/>
      </w:pPr>
      <w:r w:rsidRPr="00A2654C">
        <w:t xml:space="preserve">In the event of default or violation by either Party, unless otherwise provided herein, if the defaulting party cannot cure such default or violation within a reasonable period of time given by the other Party, the other Party may terminate the Agreement; and the defaulting party shall be liable for the damage and compensation resulting </w:t>
      </w:r>
      <w:r w:rsidRPr="00A2654C">
        <w:lastRenderedPageBreak/>
        <w:t>from such default or violation.</w:t>
      </w:r>
    </w:p>
    <w:p w14:paraId="6D92979E" w14:textId="209869C5" w:rsidR="00CC7BE4" w:rsidRPr="00AC509C" w:rsidRDefault="003339F9" w:rsidP="00984DEF">
      <w:pPr>
        <w:pStyle w:val="Standard"/>
        <w:numPr>
          <w:ilvl w:val="1"/>
          <w:numId w:val="56"/>
        </w:numPr>
        <w:autoSpaceDE w:val="0"/>
        <w:ind w:left="1418" w:hanging="709"/>
      </w:pPr>
      <w:r w:rsidRPr="00A2654C">
        <w:t>The subsequent ownership of the Study Results after the Agreement is terminated shall be executed in accordance with the provisions under Article 9 hereof.</w:t>
      </w:r>
    </w:p>
    <w:p w14:paraId="545C263F" w14:textId="349CDF39" w:rsidR="00CC7BE4" w:rsidRPr="00AC509C" w:rsidRDefault="003339F9" w:rsidP="00975129">
      <w:pPr>
        <w:pStyle w:val="Standard"/>
        <w:keepNext/>
        <w:tabs>
          <w:tab w:val="left" w:pos="1134"/>
        </w:tabs>
        <w:autoSpaceDE w:val="0"/>
        <w:rPr>
          <w:b/>
          <w:color w:val="000000"/>
          <w:kern w:val="0"/>
        </w:rPr>
      </w:pPr>
      <w:r>
        <w:rPr>
          <w:rFonts w:eastAsia="標楷體" w:hint="eastAsia"/>
          <w:b/>
          <w:color w:val="000000"/>
          <w:kern w:val="0"/>
        </w:rPr>
        <w:br/>
      </w:r>
      <w:r w:rsidRPr="00A2654C">
        <w:rPr>
          <w:b/>
        </w:rPr>
        <w:t xml:space="preserve">Article 14: </w:t>
      </w:r>
      <w:r w:rsidRPr="00A2654C">
        <w:rPr>
          <w:b/>
        </w:rPr>
        <w:tab/>
        <w:t>Indemnification</w:t>
      </w:r>
    </w:p>
    <w:p w14:paraId="6E34138E" w14:textId="389F9733" w:rsidR="00CC7BE4" w:rsidRPr="00AC509C" w:rsidRDefault="003339F9" w:rsidP="00984DEF">
      <w:pPr>
        <w:pStyle w:val="Standard"/>
        <w:numPr>
          <w:ilvl w:val="1"/>
          <w:numId w:val="57"/>
        </w:numPr>
        <w:autoSpaceDE w:val="0"/>
        <w:ind w:left="1418" w:hanging="709"/>
      </w:pPr>
      <w:r w:rsidRPr="00A2654C">
        <w:t xml:space="preserve">Party B shall indemnify against any damages suffered by the subject as a result of participating in the Study, provided that Party A and its personnel associated with the conduct of the Study have properly followed the steps outlined in the Protocol when conducting the Study; Party B shall be liable for the compensation. The fee spent by Party B for treatment of the subject shall also be borne by Party B. Party B shall indemnify Party A and its personnel associated with the conduct of the Study against any and all losses incurred from such event (including costs of settlement with the claimant, compensation ruled by a court of law, expenses arising from suits, attorney fees or other relevant fees). </w:t>
      </w:r>
    </w:p>
    <w:p w14:paraId="5EDF122A" w14:textId="4647C713" w:rsidR="00CC7BE4" w:rsidRPr="00AC509C" w:rsidRDefault="003339F9" w:rsidP="00984DEF">
      <w:pPr>
        <w:pStyle w:val="Standard"/>
        <w:numPr>
          <w:ilvl w:val="1"/>
          <w:numId w:val="57"/>
        </w:numPr>
        <w:autoSpaceDE w:val="0"/>
        <w:ind w:left="1418" w:hanging="709"/>
      </w:pPr>
      <w:r w:rsidRPr="00A2654C">
        <w:t>For any damages suffered by the subject during the participation in the Study as a result of the willful misconduct or negligence, or non-compliance of the Protocol by the Principal Investigator or Party A</w:t>
      </w:r>
      <w:r>
        <w:t>’</w:t>
      </w:r>
      <w:r w:rsidRPr="00A2654C">
        <w:t>s personnel associated with the conduct of the Study, Party A shall be responsible for the subsequent handling of the event and indemnify against such damages.</w:t>
      </w:r>
    </w:p>
    <w:p w14:paraId="2EC8BE89" w14:textId="2A924E6F" w:rsidR="00CC7BE4" w:rsidRPr="00AC509C" w:rsidRDefault="003339F9" w:rsidP="00984DEF">
      <w:pPr>
        <w:pStyle w:val="Standard"/>
        <w:numPr>
          <w:ilvl w:val="1"/>
          <w:numId w:val="57"/>
        </w:numPr>
        <w:autoSpaceDE w:val="0"/>
        <w:ind w:left="1418" w:hanging="709"/>
      </w:pPr>
      <w:r w:rsidRPr="00A2654C">
        <w:t xml:space="preserve">Except for the indemnities stated above, in no event shall Party A be responsible to Party B for any of its damages or losses, or losses of interest or profits. </w:t>
      </w:r>
    </w:p>
    <w:p w14:paraId="17FBB1FB" w14:textId="440EDE5D" w:rsidR="00CC7BE4" w:rsidRPr="00AC509C" w:rsidRDefault="003339F9" w:rsidP="00975129">
      <w:pPr>
        <w:pStyle w:val="Standard"/>
        <w:keepNext/>
        <w:tabs>
          <w:tab w:val="left" w:pos="1134"/>
        </w:tabs>
        <w:autoSpaceDE w:val="0"/>
      </w:pPr>
      <w:r>
        <w:rPr>
          <w:rFonts w:eastAsia="標楷體" w:hint="eastAsia"/>
          <w:b/>
          <w:color w:val="000000"/>
          <w:kern w:val="0"/>
        </w:rPr>
        <w:br/>
      </w:r>
      <w:r w:rsidRPr="00A2654C">
        <w:rPr>
          <w:b/>
        </w:rPr>
        <w:t xml:space="preserve">Article 15: </w:t>
      </w:r>
      <w:r w:rsidRPr="00A2654C">
        <w:rPr>
          <w:b/>
        </w:rPr>
        <w:tab/>
        <w:t>Insurance Obligation</w:t>
      </w:r>
    </w:p>
    <w:p w14:paraId="2DE7B8DC" w14:textId="55AEFBD9" w:rsidR="00CC7BE4" w:rsidRPr="00AC509C" w:rsidRDefault="003339F9" w:rsidP="00984DEF">
      <w:pPr>
        <w:pStyle w:val="Standard"/>
        <w:numPr>
          <w:ilvl w:val="1"/>
          <w:numId w:val="58"/>
        </w:numPr>
        <w:autoSpaceDE w:val="0"/>
        <w:ind w:left="1418" w:hanging="709"/>
      </w:pPr>
      <w:r w:rsidRPr="00A2654C">
        <w:t>Party B shall subscribe commercial general liability insurance, self-insurance or clinical trial insurance for the Study, and provide written evidence of such insurance to Party A before the Study is started. Such insurance shall provide coverage sufficient for the indemnification responsibility of Party B hereunder.</w:t>
      </w:r>
    </w:p>
    <w:p w14:paraId="2DAB9F1F" w14:textId="7343FA36" w:rsidR="00CC7BE4" w:rsidRPr="00AC509C" w:rsidRDefault="003339F9" w:rsidP="00984DEF">
      <w:pPr>
        <w:pStyle w:val="Standard"/>
        <w:numPr>
          <w:ilvl w:val="1"/>
          <w:numId w:val="58"/>
        </w:numPr>
        <w:autoSpaceDE w:val="0"/>
        <w:ind w:left="1418" w:hanging="709"/>
      </w:pPr>
      <w:r w:rsidRPr="00A2654C">
        <w:t xml:space="preserve">In the event of cancellation, non-renewal or change of such insurance, Party B is required to notify Party A at least fifteen (15) days prior to the occurrence of such event. Party A shall have the right to terminate the Agreement if an equivalent alternative insurance is not found by Party B within such period of fifteen (15) days. </w:t>
      </w:r>
    </w:p>
    <w:p w14:paraId="3A601181" w14:textId="54362631" w:rsidR="00CC7BE4" w:rsidRPr="00AC509C" w:rsidRDefault="00E96438" w:rsidP="000D6B43">
      <w:pPr>
        <w:pStyle w:val="Standard"/>
        <w:keepNext/>
        <w:tabs>
          <w:tab w:val="left" w:pos="1134"/>
        </w:tabs>
        <w:autoSpaceDE w:val="0"/>
      </w:pPr>
      <w:r>
        <w:rPr>
          <w:rFonts w:eastAsia="標楷體" w:hint="eastAsia"/>
          <w:b/>
          <w:color w:val="000000"/>
        </w:rPr>
        <w:br/>
      </w:r>
      <w:r w:rsidRPr="00A2654C">
        <w:rPr>
          <w:b/>
        </w:rPr>
        <w:t xml:space="preserve">Article 16: </w:t>
      </w:r>
      <w:r w:rsidRPr="00A2654C">
        <w:rPr>
          <w:b/>
        </w:rPr>
        <w:tab/>
        <w:t>Transfer of Interest</w:t>
      </w:r>
    </w:p>
    <w:p w14:paraId="128C679E" w14:textId="1AB88FCC" w:rsidR="00CC7BE4" w:rsidRPr="00AC509C" w:rsidRDefault="00E96438" w:rsidP="00D31D69">
      <w:pPr>
        <w:pStyle w:val="Standard"/>
        <w:autoSpaceDE w:val="0"/>
        <w:ind w:left="1418"/>
      </w:pPr>
      <w:r w:rsidRPr="00A2654C">
        <w:t>Any transfer of Party A or Party B</w:t>
      </w:r>
      <w:r>
        <w:t>’</w:t>
      </w:r>
      <w:r w:rsidRPr="00A2654C">
        <w:t>s rights and obligations hereunder shall be notified to the other Party thirty (30) days prior to the event with documents relevant to such transfer executed.</w:t>
      </w:r>
    </w:p>
    <w:p w14:paraId="72C435D1" w14:textId="17F6088D" w:rsidR="00CC7BE4" w:rsidRPr="00AC509C" w:rsidRDefault="00E96438" w:rsidP="000D6B43">
      <w:pPr>
        <w:pStyle w:val="Standard"/>
        <w:keepNext/>
        <w:tabs>
          <w:tab w:val="left" w:pos="1134"/>
        </w:tabs>
        <w:autoSpaceDE w:val="0"/>
      </w:pPr>
      <w:r>
        <w:rPr>
          <w:rFonts w:eastAsia="標楷體" w:hint="eastAsia"/>
          <w:b/>
          <w:color w:val="000000"/>
        </w:rPr>
        <w:br/>
      </w:r>
      <w:r w:rsidRPr="00A2654C">
        <w:rPr>
          <w:b/>
        </w:rPr>
        <w:t xml:space="preserve">Article 17: </w:t>
      </w:r>
      <w:r w:rsidRPr="00A2654C">
        <w:rPr>
          <w:b/>
        </w:rPr>
        <w:tab/>
        <w:t>Severability</w:t>
      </w:r>
    </w:p>
    <w:p w14:paraId="6C51765A" w14:textId="2EFCEF66" w:rsidR="00CC7BE4" w:rsidRPr="00AC509C" w:rsidRDefault="00E96438" w:rsidP="00D31D69">
      <w:pPr>
        <w:pStyle w:val="Standard"/>
        <w:autoSpaceDE w:val="0"/>
        <w:ind w:left="1418"/>
        <w:rPr>
          <w:rFonts w:eastAsia="標楷體"/>
          <w:color w:val="000000"/>
        </w:rPr>
      </w:pPr>
      <w:r w:rsidRPr="00A2654C">
        <w:t>In the event that any provision contained in this Agreement is deemed invalid by applicable laws and regulations, the remaining provisions shall still remain in full force and effect.</w:t>
      </w:r>
    </w:p>
    <w:p w14:paraId="1C8378B8" w14:textId="59205A0C" w:rsidR="00CC7BE4" w:rsidRPr="00AC509C" w:rsidRDefault="00E96438" w:rsidP="000D6B43">
      <w:pPr>
        <w:pStyle w:val="Standard"/>
        <w:keepNext/>
        <w:tabs>
          <w:tab w:val="left" w:pos="1134"/>
        </w:tabs>
        <w:autoSpaceDE w:val="0"/>
        <w:rPr>
          <w:b/>
          <w:color w:val="000000"/>
          <w:kern w:val="0"/>
        </w:rPr>
      </w:pPr>
      <w:r>
        <w:rPr>
          <w:rFonts w:eastAsia="標楷體" w:hint="eastAsia"/>
          <w:b/>
          <w:color w:val="000000"/>
          <w:kern w:val="0"/>
        </w:rPr>
        <w:br/>
      </w:r>
      <w:r w:rsidRPr="00A2654C">
        <w:rPr>
          <w:b/>
        </w:rPr>
        <w:t xml:space="preserve">Article 18: </w:t>
      </w:r>
      <w:r w:rsidRPr="00A2654C">
        <w:rPr>
          <w:b/>
        </w:rPr>
        <w:tab/>
        <w:t>Representation and Warranty</w:t>
      </w:r>
    </w:p>
    <w:p w14:paraId="7ABADF24" w14:textId="0A49B3C0" w:rsidR="00CC7BE4" w:rsidRPr="00AC509C" w:rsidRDefault="00E96438" w:rsidP="00984DEF">
      <w:pPr>
        <w:pStyle w:val="Standard"/>
        <w:numPr>
          <w:ilvl w:val="1"/>
          <w:numId w:val="59"/>
        </w:numPr>
        <w:autoSpaceDE w:val="0"/>
        <w:ind w:left="1418" w:hanging="709"/>
      </w:pPr>
      <w:r w:rsidRPr="00A2654C">
        <w:t>Party A represents and warrants that all of its personnel associated with the conduct of the Study have any and all qualification, approvals, permits, licenses and other requirements under the applicable laws and regulations of the Republic of China throughout the conduct of the Study.</w:t>
      </w:r>
    </w:p>
    <w:p w14:paraId="6E0F6009" w14:textId="2D36144F" w:rsidR="00CC7BE4" w:rsidRPr="00AC509C" w:rsidRDefault="00E96438" w:rsidP="00984DEF">
      <w:pPr>
        <w:pStyle w:val="Standard"/>
        <w:numPr>
          <w:ilvl w:val="1"/>
          <w:numId w:val="59"/>
        </w:numPr>
        <w:autoSpaceDE w:val="0"/>
        <w:ind w:left="1418" w:hanging="709"/>
      </w:pPr>
      <w:r w:rsidRPr="00A2654C">
        <w:t xml:space="preserve">Party B warrants that all the drugs provided in the Study are in full compliance with the Medical Care Act, Good Manufacturing Practice and other applicable requirements. No matter whether the drugs are manufactured or imported by Party B, Party B agrees to assume the responsibilities of a manufacturer and an importer towards the subjects under the Consumer Protection Act. The subject may also </w:t>
      </w:r>
      <w:r w:rsidRPr="00A2654C">
        <w:lastRenderedPageBreak/>
        <w:t>exercise his/her rights directly towards Party B under such Act.</w:t>
      </w:r>
    </w:p>
    <w:p w14:paraId="5EE43221" w14:textId="3957EB5D" w:rsidR="00CC7BE4" w:rsidRPr="00AC509C" w:rsidRDefault="00E96438" w:rsidP="00984DEF">
      <w:pPr>
        <w:pStyle w:val="Standard"/>
        <w:numPr>
          <w:ilvl w:val="1"/>
          <w:numId w:val="59"/>
        </w:numPr>
        <w:autoSpaceDE w:val="0"/>
        <w:ind w:left="1418" w:hanging="709"/>
      </w:pPr>
      <w:r w:rsidRPr="00A2654C">
        <w:t xml:space="preserve">Party B shall provide the </w:t>
      </w:r>
      <w:r w:rsidR="00AF39D9">
        <w:t>“</w:t>
      </w:r>
      <w:r w:rsidRPr="00A2654C">
        <w:t>Investigator</w:t>
      </w:r>
      <w:r>
        <w:t>’</w:t>
      </w:r>
      <w:r w:rsidRPr="00A2654C">
        <w:t>s Brochure</w:t>
      </w:r>
      <w:r w:rsidR="00AF39D9">
        <w:t>”</w:t>
      </w:r>
      <w:r w:rsidRPr="00A2654C">
        <w:t xml:space="preserve"> that details the physical and chemical properties of the investigational drug, its pharmaceutical profile, toxicology and safety information when used in animals and humans, pharmacokinetics and pharmacodynamics data, and information from the pre-clinical study, and shall provide the standard operation procedure which conform to the relevant requirements of the Good Clinical Practice, Medical Care Act and Pharmaceutical Affairs Act.</w:t>
      </w:r>
    </w:p>
    <w:p w14:paraId="7363F560" w14:textId="550812ED" w:rsidR="00CC7BE4" w:rsidRPr="00AC509C" w:rsidRDefault="00E96438" w:rsidP="00984DEF">
      <w:pPr>
        <w:pStyle w:val="Standard"/>
        <w:numPr>
          <w:ilvl w:val="1"/>
          <w:numId w:val="59"/>
        </w:numPr>
        <w:autoSpaceDE w:val="0"/>
        <w:ind w:left="1418" w:hanging="709"/>
      </w:pPr>
      <w:r w:rsidRPr="00A2654C">
        <w:t>During the Study, if any relevant information (including the safety information and new therapies) becomes available, Party B shall notify Party A in writing immediately.</w:t>
      </w:r>
    </w:p>
    <w:p w14:paraId="5CC95876" w14:textId="19E24E50" w:rsidR="00CC7BE4" w:rsidRPr="00AC509C" w:rsidRDefault="00E96438" w:rsidP="00984DEF">
      <w:pPr>
        <w:pStyle w:val="Standard"/>
        <w:numPr>
          <w:ilvl w:val="1"/>
          <w:numId w:val="59"/>
        </w:numPr>
        <w:autoSpaceDE w:val="0"/>
        <w:ind w:left="1418" w:hanging="709"/>
      </w:pPr>
      <w:r w:rsidRPr="00A2654C">
        <w:t>Party B warrants that the study materials and data are true and do not infringe upon the patent, trademark, copyright, or trade secret claimed by a third party.</w:t>
      </w:r>
    </w:p>
    <w:p w14:paraId="2920C787" w14:textId="16977EED" w:rsidR="00CC7BE4" w:rsidRPr="00AC509C" w:rsidRDefault="00F27F2B" w:rsidP="003A74AF">
      <w:pPr>
        <w:pStyle w:val="Standard"/>
        <w:keepNext/>
        <w:tabs>
          <w:tab w:val="left" w:pos="1134"/>
        </w:tabs>
        <w:autoSpaceDE w:val="0"/>
        <w:rPr>
          <w:rFonts w:eastAsia="標楷體"/>
          <w:b/>
          <w:color w:val="000000"/>
          <w:kern w:val="0"/>
        </w:rPr>
      </w:pPr>
      <w:r>
        <w:rPr>
          <w:rFonts w:eastAsia="標楷體" w:hint="eastAsia"/>
          <w:b/>
          <w:color w:val="000000"/>
          <w:kern w:val="0"/>
        </w:rPr>
        <w:br/>
      </w:r>
      <w:r w:rsidRPr="00A2654C">
        <w:rPr>
          <w:b/>
        </w:rPr>
        <w:t xml:space="preserve">Article 19: </w:t>
      </w:r>
      <w:r w:rsidRPr="00A2654C">
        <w:rPr>
          <w:b/>
        </w:rPr>
        <w:tab/>
        <w:t>Force Majeure</w:t>
      </w:r>
    </w:p>
    <w:p w14:paraId="6993408F" w14:textId="49D4B554" w:rsidR="00CC7BE4" w:rsidRPr="00AC509C" w:rsidRDefault="00F27F2B" w:rsidP="00E96438">
      <w:pPr>
        <w:pStyle w:val="Standard"/>
        <w:autoSpaceDE w:val="0"/>
        <w:ind w:left="1418"/>
        <w:rPr>
          <w:rFonts w:eastAsia="標楷體"/>
          <w:color w:val="000000"/>
        </w:rPr>
      </w:pPr>
      <w:r w:rsidRPr="00A2654C">
        <w:t>For the inability to fulfill the Agreement caused by floods, fires, storms, earthquakes, or others that cannot be attributed to any party, s not obligated for reimbursement or liable for delay.</w:t>
      </w:r>
    </w:p>
    <w:p w14:paraId="6CF9C905" w14:textId="7D721E24" w:rsidR="00CC7BE4" w:rsidRPr="00AC509C" w:rsidRDefault="00F27F2B" w:rsidP="003A74AF">
      <w:pPr>
        <w:pStyle w:val="Standard"/>
        <w:keepNext/>
        <w:tabs>
          <w:tab w:val="left" w:pos="1134"/>
        </w:tabs>
        <w:autoSpaceDE w:val="0"/>
        <w:rPr>
          <w:rFonts w:eastAsia="標楷體"/>
          <w:b/>
          <w:color w:val="000000"/>
          <w:kern w:val="0"/>
        </w:rPr>
      </w:pPr>
      <w:r>
        <w:rPr>
          <w:rFonts w:eastAsia="標楷體" w:hint="eastAsia"/>
          <w:b/>
          <w:color w:val="000000"/>
          <w:kern w:val="0"/>
        </w:rPr>
        <w:br/>
      </w:r>
      <w:r w:rsidRPr="00A2654C">
        <w:rPr>
          <w:b/>
        </w:rPr>
        <w:t xml:space="preserve">Article 20: </w:t>
      </w:r>
      <w:r w:rsidRPr="00A2654C">
        <w:rPr>
          <w:b/>
        </w:rPr>
        <w:tab/>
        <w:t>Compliance with Applicable Laws</w:t>
      </w:r>
    </w:p>
    <w:p w14:paraId="45A1B642" w14:textId="54B20DD1" w:rsidR="00CC7BE4" w:rsidRPr="00AC509C" w:rsidRDefault="00F27F2B" w:rsidP="00E96438">
      <w:pPr>
        <w:pStyle w:val="Standard"/>
        <w:autoSpaceDE w:val="0"/>
        <w:ind w:left="1418"/>
      </w:pPr>
      <w:r w:rsidRPr="00A2654C">
        <w:t xml:space="preserve">Both Party A and Party B shall comply with ethical principles relating to clinical trials and other applicable laws and regulations during the conduct of the Study. </w:t>
      </w:r>
    </w:p>
    <w:p w14:paraId="2BDE3215" w14:textId="72710962" w:rsidR="00CC7BE4" w:rsidRPr="00AC509C" w:rsidRDefault="00F27F2B" w:rsidP="003A74AF">
      <w:pPr>
        <w:pStyle w:val="Standard"/>
        <w:keepNext/>
        <w:tabs>
          <w:tab w:val="left" w:pos="1722"/>
        </w:tabs>
        <w:autoSpaceDE w:val="0"/>
      </w:pPr>
      <w:r>
        <w:rPr>
          <w:rFonts w:eastAsia="標楷體" w:hint="eastAsia"/>
          <w:b/>
          <w:color w:val="000000"/>
          <w:kern w:val="0"/>
        </w:rPr>
        <w:br/>
      </w:r>
      <w:r w:rsidR="00AC0EC9" w:rsidRPr="00A2654C">
        <w:rPr>
          <w:b/>
        </w:rPr>
        <w:t xml:space="preserve">Article 21: </w:t>
      </w:r>
      <w:r w:rsidR="00AC0EC9" w:rsidRPr="00A2654C">
        <w:rPr>
          <w:b/>
        </w:rPr>
        <w:tab/>
        <w:t>Effect of Appendices and Entire Agreement</w:t>
      </w:r>
    </w:p>
    <w:p w14:paraId="0634188A" w14:textId="2B7DB228" w:rsidR="00CC7BE4" w:rsidRPr="003A74AF" w:rsidRDefault="00AC0EC9" w:rsidP="00984DEF">
      <w:pPr>
        <w:pStyle w:val="Standard"/>
        <w:numPr>
          <w:ilvl w:val="1"/>
          <w:numId w:val="60"/>
        </w:numPr>
        <w:autoSpaceDE w:val="0"/>
        <w:ind w:left="1701" w:hanging="708"/>
      </w:pPr>
      <w:r w:rsidRPr="00A2654C">
        <w:t>The appendices shall be deemed as a part of this Agreement.</w:t>
      </w:r>
    </w:p>
    <w:p w14:paraId="179E0F7F" w14:textId="56003974" w:rsidR="00CC7BE4" w:rsidRPr="00AC509C" w:rsidRDefault="00AC0EC9" w:rsidP="00984DEF">
      <w:pPr>
        <w:pStyle w:val="Standard"/>
        <w:numPr>
          <w:ilvl w:val="1"/>
          <w:numId w:val="60"/>
        </w:numPr>
        <w:autoSpaceDE w:val="0"/>
        <w:ind w:left="1701" w:hanging="708"/>
        <w:rPr>
          <w:rFonts w:eastAsia="標楷體"/>
          <w:color w:val="000000"/>
        </w:rPr>
      </w:pPr>
      <w:r w:rsidRPr="00A2654C">
        <w:t>If there is change to the appendices, the most updated version approved by the Ethics Committee thereof shall prevail. However, cases which are controlled by Ministry of Health and Welfare are subject to the most updated version of the appendices approved by the central competent health authority.</w:t>
      </w:r>
    </w:p>
    <w:p w14:paraId="25C538CE" w14:textId="53543051" w:rsidR="00CC7BE4" w:rsidRPr="00AC509C" w:rsidRDefault="00AC0EC9" w:rsidP="00984DEF">
      <w:pPr>
        <w:pStyle w:val="Standard"/>
        <w:numPr>
          <w:ilvl w:val="1"/>
          <w:numId w:val="60"/>
        </w:numPr>
        <w:autoSpaceDE w:val="0"/>
        <w:ind w:left="1701" w:hanging="708"/>
        <w:rPr>
          <w:rFonts w:eastAsia="標楷體"/>
          <w:color w:val="000000"/>
        </w:rPr>
      </w:pPr>
      <w:r w:rsidRPr="00A2654C">
        <w:t>This Agreement, together with the appendices hereto, constitutes the entire agreement between the Parties with respect to the Study. Any items agreed upon by the Parties prior to the execution of this Agreement but not specified herein or in the appendices attached thereto shall not be binding on the Parties hereto.</w:t>
      </w:r>
    </w:p>
    <w:p w14:paraId="7E9B5045" w14:textId="59E19180" w:rsidR="00CC7BE4" w:rsidRPr="00AC509C" w:rsidRDefault="004C77F9" w:rsidP="00C52B24">
      <w:pPr>
        <w:pStyle w:val="Standard"/>
        <w:keepNext/>
        <w:tabs>
          <w:tab w:val="left" w:pos="1722"/>
        </w:tabs>
        <w:autoSpaceDE w:val="0"/>
        <w:rPr>
          <w:rFonts w:eastAsia="標楷體"/>
          <w:b/>
          <w:color w:val="000000"/>
          <w:kern w:val="0"/>
        </w:rPr>
      </w:pPr>
      <w:r>
        <w:rPr>
          <w:rFonts w:eastAsia="標楷體" w:hint="eastAsia"/>
          <w:b/>
          <w:color w:val="000000"/>
          <w:kern w:val="0"/>
        </w:rPr>
        <w:br/>
      </w:r>
      <w:r w:rsidRPr="00A2654C">
        <w:rPr>
          <w:b/>
        </w:rPr>
        <w:t xml:space="preserve">Article 22: </w:t>
      </w:r>
      <w:r w:rsidRPr="00A2654C">
        <w:rPr>
          <w:b/>
        </w:rPr>
        <w:tab/>
        <w:t>Agreement Interpretation and Dispute Resolution</w:t>
      </w:r>
    </w:p>
    <w:p w14:paraId="2763683F" w14:textId="519C1D66" w:rsidR="00CC7BE4" w:rsidRPr="00AC509C" w:rsidRDefault="00C60A1B" w:rsidP="00984DEF">
      <w:pPr>
        <w:pStyle w:val="Standard"/>
        <w:numPr>
          <w:ilvl w:val="1"/>
          <w:numId w:val="61"/>
        </w:numPr>
        <w:autoSpaceDE w:val="0"/>
        <w:ind w:left="1701" w:hanging="708"/>
      </w:pPr>
      <w:r w:rsidRPr="00A2654C">
        <w:t>This Agreement shall be construed in accordance with and be governed by the laws of the Republic of China. Both Party A and Party B agree to resolve any questions or disputes under or in connection with this Agreement in good faith.</w:t>
      </w:r>
    </w:p>
    <w:p w14:paraId="2BA2F20F" w14:textId="58150D8D" w:rsidR="00CC7BE4" w:rsidRPr="00AC509C" w:rsidRDefault="00C60A1B" w:rsidP="00984DEF">
      <w:pPr>
        <w:pStyle w:val="Standard"/>
        <w:numPr>
          <w:ilvl w:val="1"/>
          <w:numId w:val="61"/>
        </w:numPr>
        <w:autoSpaceDE w:val="0"/>
        <w:ind w:left="1701" w:hanging="708"/>
      </w:pPr>
      <w:r w:rsidRPr="00A2654C">
        <w:t>In the event of any litigation arising out of or in connection with this Agreement, Party A and Party B agree that Taiwan Taipei District Court shall be the court of first instance.</w:t>
      </w:r>
    </w:p>
    <w:p w14:paraId="488B3A95" w14:textId="0CC370CA" w:rsidR="00CC7BE4" w:rsidRPr="00AC509C" w:rsidRDefault="00EB6C1E" w:rsidP="00C52B24">
      <w:pPr>
        <w:pStyle w:val="Standard"/>
        <w:keepNext/>
        <w:tabs>
          <w:tab w:val="left" w:pos="1722"/>
        </w:tabs>
        <w:autoSpaceDE w:val="0"/>
        <w:rPr>
          <w:rFonts w:eastAsia="標楷體"/>
          <w:b/>
          <w:color w:val="000000"/>
          <w:kern w:val="0"/>
        </w:rPr>
      </w:pPr>
      <w:r>
        <w:rPr>
          <w:rFonts w:eastAsia="標楷體" w:hint="eastAsia"/>
          <w:b/>
          <w:color w:val="000000"/>
          <w:kern w:val="0"/>
        </w:rPr>
        <w:br/>
      </w:r>
      <w:r w:rsidRPr="00A2654C">
        <w:rPr>
          <w:b/>
        </w:rPr>
        <w:t xml:space="preserve">Article 23: </w:t>
      </w:r>
      <w:r w:rsidRPr="00A2654C">
        <w:rPr>
          <w:b/>
        </w:rPr>
        <w:tab/>
        <w:t>Contact Management</w:t>
      </w:r>
    </w:p>
    <w:p w14:paraId="205350D4" w14:textId="0AD48A82" w:rsidR="00CC7BE4" w:rsidRPr="00C52B24" w:rsidRDefault="00AE3F20" w:rsidP="00984DEF">
      <w:pPr>
        <w:pStyle w:val="Standard"/>
        <w:numPr>
          <w:ilvl w:val="1"/>
          <w:numId w:val="61"/>
        </w:numPr>
        <w:autoSpaceDE w:val="0"/>
        <w:ind w:left="1701" w:hanging="708"/>
      </w:pPr>
      <w:r w:rsidRPr="00A2654C">
        <w:t xml:space="preserve">Any notice or request under this Agreement shall be delivered in writing to the following respective place and personnel (the </w:t>
      </w:r>
      <w:r w:rsidR="00AF39D9">
        <w:t>“</w:t>
      </w:r>
      <w:r w:rsidRPr="00A2654C">
        <w:t>Contact Person</w:t>
      </w:r>
      <w:r w:rsidR="00AF39D9">
        <w:t>”</w:t>
      </w:r>
      <w:r w:rsidRPr="00A2654C">
        <w:t>), and shall be deemed as delivered once such notice or request are delivered to the Contact Person:</w:t>
      </w:r>
    </w:p>
    <w:p w14:paraId="3750A1AB" w14:textId="79C71B25" w:rsidR="00CC7BE4" w:rsidRPr="00AC509C" w:rsidRDefault="00B71C08" w:rsidP="00E96438">
      <w:pPr>
        <w:pStyle w:val="Standard"/>
        <w:keepNext/>
        <w:spacing w:before="240"/>
        <w:ind w:left="1699"/>
        <w:rPr>
          <w:rFonts w:eastAsia="標楷體"/>
          <w:b/>
          <w:color w:val="000000"/>
        </w:rPr>
      </w:pPr>
      <w:r w:rsidRPr="00A2654C">
        <w:rPr>
          <w:b/>
        </w:rPr>
        <w:t>Party A</w:t>
      </w:r>
    </w:p>
    <w:p w14:paraId="01D91B8D" w14:textId="3D2AB4C3" w:rsidR="00CC7BE4" w:rsidRPr="00AC509C" w:rsidRDefault="00B71C08" w:rsidP="00C52B24">
      <w:pPr>
        <w:pStyle w:val="Standard"/>
        <w:ind w:left="1699"/>
      </w:pPr>
      <w:r>
        <w:rPr>
          <w:rFonts w:eastAsia="標楷體" w:hint="eastAsia"/>
          <w:color w:val="000000"/>
        </w:rPr>
        <w:br/>
      </w:r>
      <w:r w:rsidRPr="00A2654C">
        <w:t>Unit: Joint Clinical Research Center</w:t>
      </w:r>
      <w:r w:rsidR="00B447DA" w:rsidRPr="00AC509C">
        <w:rPr>
          <w:rFonts w:eastAsia="標楷體"/>
          <w:color w:val="000000"/>
        </w:rPr>
        <w:t>     </w:t>
      </w:r>
      <w:r>
        <w:rPr>
          <w:rFonts w:eastAsia="標楷體" w:hint="eastAsia"/>
          <w:color w:val="000000"/>
        </w:rPr>
        <w:br/>
      </w:r>
      <w:r w:rsidRPr="00A2654C">
        <w:t xml:space="preserve">Contact person: </w:t>
      </w:r>
      <w:r w:rsidR="00B447DA" w:rsidRPr="00AC509C">
        <w:rPr>
          <w:rFonts w:eastAsia="標楷體"/>
          <w:color w:val="000000"/>
        </w:rPr>
        <w:t>   </w:t>
      </w:r>
      <w:r>
        <w:rPr>
          <w:rFonts w:eastAsia="標楷體" w:hint="eastAsia"/>
          <w:color w:val="000000"/>
        </w:rPr>
        <w:br/>
      </w:r>
      <w:r w:rsidRPr="00A2654C">
        <w:t>Tel: 02-6638-2736 Ext.</w:t>
      </w:r>
      <w:r>
        <w:rPr>
          <w:rFonts w:eastAsia="標楷體" w:hint="eastAsia"/>
          <w:color w:val="000000"/>
        </w:rPr>
        <w:br/>
      </w:r>
      <w:r w:rsidRPr="00A2654C">
        <w:lastRenderedPageBreak/>
        <w:t xml:space="preserve">Address: 17F., No. 172-1, Sec. 2, Keelung Rd., </w:t>
      </w:r>
      <w:proofErr w:type="spellStart"/>
      <w:r w:rsidRPr="00A2654C">
        <w:t>Daan</w:t>
      </w:r>
      <w:proofErr w:type="spellEnd"/>
      <w:r w:rsidRPr="00A2654C">
        <w:t xml:space="preserve"> Dist., Taipei City</w:t>
      </w:r>
    </w:p>
    <w:p w14:paraId="74C98449" w14:textId="77777777" w:rsidR="00C52B24" w:rsidRDefault="00B447DA" w:rsidP="00C52B24">
      <w:pPr>
        <w:pStyle w:val="Standard"/>
        <w:ind w:left="1699"/>
        <w:rPr>
          <w:rFonts w:eastAsiaTheme="minorEastAsia"/>
        </w:rPr>
      </w:pPr>
      <w:r w:rsidRPr="00AC509C">
        <w:rPr>
          <w:rFonts w:eastAsia="標楷體"/>
          <w:color w:val="000000"/>
        </w:rPr>
        <w:t>Email</w:t>
      </w:r>
      <w:r w:rsidRPr="00AC509C">
        <w:rPr>
          <w:rFonts w:eastAsia="標楷體"/>
          <w:color w:val="000000"/>
        </w:rPr>
        <w:t>：</w:t>
      </w:r>
      <w:r w:rsidRPr="00AC509C">
        <w:rPr>
          <w:rFonts w:eastAsia="標楷體"/>
          <w:color w:val="000000"/>
        </w:rPr>
        <w:t>     </w:t>
      </w:r>
    </w:p>
    <w:p w14:paraId="11B66991" w14:textId="4D07E18F" w:rsidR="00CC7BE4" w:rsidRPr="00AC509C" w:rsidRDefault="00B71C08" w:rsidP="00C52B24">
      <w:pPr>
        <w:pStyle w:val="Standard"/>
        <w:ind w:left="1699"/>
      </w:pPr>
      <w:r>
        <w:rPr>
          <w:rFonts w:eastAsia="標楷體" w:hint="eastAsia"/>
          <w:b/>
          <w:color w:val="000000"/>
        </w:rPr>
        <w:br/>
      </w:r>
      <w:r w:rsidRPr="00A2654C">
        <w:rPr>
          <w:b/>
        </w:rPr>
        <w:t>Principal Investigator</w:t>
      </w:r>
      <w:r w:rsidR="00B447DA" w:rsidRPr="00AC509C">
        <w:rPr>
          <w:rFonts w:eastAsia="標楷體"/>
          <w:color w:val="000000"/>
        </w:rPr>
        <w:t>     </w:t>
      </w:r>
      <w:r>
        <w:rPr>
          <w:rFonts w:eastAsia="標楷體" w:hint="eastAsia"/>
          <w:color w:val="000000"/>
        </w:rPr>
        <w:br/>
      </w:r>
      <w:r w:rsidRPr="00A2654C">
        <w:t>Contact person:</w:t>
      </w:r>
      <w:r w:rsidR="00F94EE4" w:rsidRPr="00F94EE4">
        <w:t xml:space="preserve"> </w:t>
      </w:r>
      <w:r w:rsidR="00B447DA" w:rsidRPr="00AC509C">
        <w:rPr>
          <w:rFonts w:eastAsia="標楷體"/>
          <w:color w:val="000000"/>
        </w:rPr>
        <w:t>     </w:t>
      </w:r>
      <w:r>
        <w:rPr>
          <w:rFonts w:eastAsia="標楷體" w:hint="eastAsia"/>
          <w:color w:val="000000"/>
        </w:rPr>
        <w:br/>
      </w:r>
      <w:r w:rsidRPr="00A2654C">
        <w:t>Tel:</w:t>
      </w:r>
      <w:r w:rsidR="00F94EE4" w:rsidRPr="00F94EE4">
        <w:rPr>
          <w:rFonts w:eastAsia="標楷體" w:hint="eastAsia"/>
          <w:color w:val="000000"/>
        </w:rPr>
        <w:t xml:space="preserve"> </w:t>
      </w:r>
      <w:r w:rsidR="00C52B24">
        <w:rPr>
          <w:rFonts w:eastAsia="標楷體" w:hint="eastAsia"/>
          <w:color w:val="000000"/>
        </w:rPr>
        <w:t xml:space="preserve">                             </w:t>
      </w:r>
      <w:r w:rsidR="00F94EE4" w:rsidRPr="00F94EE4">
        <w:rPr>
          <w:rFonts w:eastAsia="標楷體"/>
          <w:color w:val="000000"/>
        </w:rPr>
        <w:t xml:space="preserve">ext. </w:t>
      </w:r>
      <w:r w:rsidR="00B447DA" w:rsidRPr="00AC509C">
        <w:rPr>
          <w:rFonts w:eastAsia="標楷體"/>
          <w:color w:val="000000"/>
        </w:rPr>
        <w:t>     </w:t>
      </w:r>
      <w:r>
        <w:rPr>
          <w:rFonts w:eastAsia="標楷體" w:hint="eastAsia"/>
          <w:color w:val="000000"/>
        </w:rPr>
        <w:br/>
      </w:r>
      <w:r w:rsidRPr="00A2654C">
        <w:t>Address:</w:t>
      </w:r>
      <w:r w:rsidR="00F94EE4" w:rsidRPr="00F94EE4">
        <w:t xml:space="preserve"> </w:t>
      </w:r>
    </w:p>
    <w:p w14:paraId="1DFC9EB1" w14:textId="392B25D2" w:rsidR="00CC7BE4" w:rsidRPr="00AC509C" w:rsidRDefault="00B447DA" w:rsidP="00E96438">
      <w:pPr>
        <w:pStyle w:val="Standard"/>
        <w:ind w:left="1699"/>
      </w:pPr>
      <w:r w:rsidRPr="00AC509C">
        <w:rPr>
          <w:rFonts w:eastAsia="標楷體"/>
          <w:color w:val="000000"/>
        </w:rPr>
        <w:t>Email</w:t>
      </w:r>
      <w:r w:rsidRPr="00AC509C">
        <w:rPr>
          <w:rFonts w:eastAsia="標楷體"/>
          <w:color w:val="000000"/>
        </w:rPr>
        <w:t>：</w:t>
      </w:r>
      <w:r w:rsidR="00C52B24" w:rsidRPr="00AC509C">
        <w:rPr>
          <w:rFonts w:eastAsia="標楷體"/>
          <w:color w:val="000000"/>
        </w:rPr>
        <w:t xml:space="preserve"> </w:t>
      </w:r>
      <w:r w:rsidRPr="00AC509C">
        <w:rPr>
          <w:rFonts w:eastAsia="標楷體"/>
          <w:color w:val="000000"/>
        </w:rPr>
        <w:t> </w:t>
      </w:r>
    </w:p>
    <w:p w14:paraId="038D7D99" w14:textId="3AE50DD0" w:rsidR="00CC7BE4" w:rsidRPr="00C52B24" w:rsidRDefault="00B71C08" w:rsidP="00C52B24">
      <w:pPr>
        <w:pStyle w:val="Standard"/>
        <w:keepNext/>
        <w:spacing w:before="240"/>
        <w:ind w:left="1699"/>
        <w:rPr>
          <w:rFonts w:eastAsia="標楷體"/>
          <w:b/>
          <w:color w:val="000000"/>
        </w:rPr>
      </w:pPr>
      <w:r w:rsidRPr="00A2654C">
        <w:rPr>
          <w:b/>
        </w:rPr>
        <w:t>Party B</w:t>
      </w:r>
      <w:r w:rsidR="00B447DA" w:rsidRPr="00F94EE4">
        <w:rPr>
          <w:rFonts w:eastAsia="標楷體"/>
          <w:color w:val="000000"/>
          <w:highlight w:val="yellow"/>
        </w:rPr>
        <w:t>     </w:t>
      </w:r>
      <w:r w:rsidRPr="00F94EE4">
        <w:rPr>
          <w:rFonts w:eastAsia="標楷體" w:hint="eastAsia"/>
          <w:color w:val="000000"/>
          <w:highlight w:val="yellow"/>
        </w:rPr>
        <w:br/>
      </w:r>
      <w:r w:rsidRPr="00C52B24">
        <w:t>Unit:</w:t>
      </w:r>
      <w:r w:rsidR="00B447DA" w:rsidRPr="00C52B24">
        <w:rPr>
          <w:rFonts w:eastAsia="標楷體"/>
          <w:color w:val="000000"/>
        </w:rPr>
        <w:t>     </w:t>
      </w:r>
      <w:r w:rsidRPr="00C52B24">
        <w:rPr>
          <w:rFonts w:eastAsia="標楷體" w:hint="eastAsia"/>
          <w:color w:val="000000"/>
        </w:rPr>
        <w:br/>
      </w:r>
      <w:r w:rsidRPr="00C52B24">
        <w:t>Contact person:</w:t>
      </w:r>
      <w:r w:rsidR="00B447DA" w:rsidRPr="00C52B24">
        <w:rPr>
          <w:rFonts w:eastAsia="標楷體"/>
          <w:color w:val="000000"/>
        </w:rPr>
        <w:t xml:space="preserve">     </w:t>
      </w:r>
      <w:r w:rsidRPr="00C52B24">
        <w:rPr>
          <w:rFonts w:eastAsia="標楷體" w:hint="eastAsia"/>
          <w:color w:val="000000"/>
        </w:rPr>
        <w:br/>
      </w:r>
      <w:r w:rsidRPr="00C52B24">
        <w:t>Tel:</w:t>
      </w:r>
      <w:r w:rsidR="00B447DA" w:rsidRPr="00C52B24">
        <w:rPr>
          <w:rFonts w:eastAsia="標楷體"/>
          <w:color w:val="000000"/>
        </w:rPr>
        <w:t>    </w:t>
      </w:r>
      <w:r w:rsidRPr="00C52B24">
        <w:rPr>
          <w:rFonts w:eastAsia="標楷體" w:hint="eastAsia"/>
          <w:color w:val="000000"/>
        </w:rPr>
        <w:br/>
      </w:r>
      <w:r w:rsidRPr="00C52B24">
        <w:t>Address:</w:t>
      </w:r>
    </w:p>
    <w:p w14:paraId="6617FF0B" w14:textId="77777777" w:rsidR="00CC7BE4" w:rsidRPr="00AC509C" w:rsidRDefault="00B447DA" w:rsidP="00B71C08">
      <w:pPr>
        <w:pStyle w:val="Standard"/>
        <w:ind w:left="1699"/>
      </w:pPr>
      <w:r w:rsidRPr="00C52B24">
        <w:rPr>
          <w:rFonts w:eastAsia="標楷體"/>
          <w:color w:val="000000"/>
        </w:rPr>
        <w:t>Email</w:t>
      </w:r>
      <w:r w:rsidRPr="00C52B24">
        <w:rPr>
          <w:rFonts w:eastAsia="標楷體"/>
          <w:color w:val="000000"/>
        </w:rPr>
        <w:t>：</w:t>
      </w:r>
      <w:r w:rsidRPr="00C52B24">
        <w:rPr>
          <w:rFonts w:eastAsia="標楷體"/>
          <w:color w:val="000000"/>
        </w:rPr>
        <w:t> </w:t>
      </w:r>
      <w:r w:rsidRPr="00F94EE4">
        <w:rPr>
          <w:rFonts w:eastAsia="標楷體"/>
          <w:color w:val="000000"/>
          <w:highlight w:val="yellow"/>
        </w:rPr>
        <w:t>    </w:t>
      </w:r>
    </w:p>
    <w:p w14:paraId="41A02622" w14:textId="56B37593" w:rsidR="00CC7BE4" w:rsidRPr="00AC509C" w:rsidRDefault="00B71C08" w:rsidP="00984DEF">
      <w:pPr>
        <w:pStyle w:val="Standard"/>
        <w:numPr>
          <w:ilvl w:val="1"/>
          <w:numId w:val="62"/>
        </w:numPr>
        <w:autoSpaceDE w:val="0"/>
        <w:ind w:left="1701" w:hanging="708"/>
      </w:pPr>
      <w:r w:rsidRPr="00A2654C">
        <w:t>Either Party shall notify the other Party</w:t>
      </w:r>
      <w:r>
        <w:t>’</w:t>
      </w:r>
      <w:r w:rsidRPr="00A2654C">
        <w:t>s Contact Person in writing of the updated information if there is any change to its Contact Person or contact information.</w:t>
      </w:r>
    </w:p>
    <w:p w14:paraId="360C1816" w14:textId="7A863285" w:rsidR="00CC7BE4" w:rsidRPr="00AC509C" w:rsidRDefault="00B71C08" w:rsidP="00BD4DBB">
      <w:pPr>
        <w:pStyle w:val="Standard"/>
        <w:keepNext/>
        <w:tabs>
          <w:tab w:val="left" w:pos="1722"/>
        </w:tabs>
        <w:autoSpaceDE w:val="0"/>
      </w:pPr>
      <w:r>
        <w:rPr>
          <w:rFonts w:eastAsia="標楷體" w:hint="eastAsia"/>
          <w:b/>
          <w:color w:val="000000"/>
          <w:kern w:val="0"/>
        </w:rPr>
        <w:br/>
      </w:r>
      <w:r w:rsidRPr="00A2654C">
        <w:rPr>
          <w:b/>
        </w:rPr>
        <w:t xml:space="preserve">Article 24: </w:t>
      </w:r>
      <w:r w:rsidRPr="00A2654C">
        <w:rPr>
          <w:b/>
        </w:rPr>
        <w:tab/>
        <w:t>Duplicates</w:t>
      </w:r>
    </w:p>
    <w:p w14:paraId="0904E2B5" w14:textId="32D0215C" w:rsidR="00CC7BE4" w:rsidRPr="00AC509C" w:rsidRDefault="00B71C08" w:rsidP="00B71C08">
      <w:pPr>
        <w:pStyle w:val="Standard"/>
        <w:autoSpaceDE w:val="0"/>
        <w:ind w:left="1701"/>
      </w:pPr>
      <w:r w:rsidRPr="00A2654C">
        <w:t xml:space="preserve">This Agreement </w:t>
      </w:r>
      <w:r>
        <w:rPr>
          <w:rFonts w:hint="eastAsia"/>
        </w:rPr>
        <w:t>shall be</w:t>
      </w:r>
      <w:r w:rsidRPr="00A2654C">
        <w:t xml:space="preserve"> executed in four (4) duplicate originals, with Taipei Medical University, Party A, Party A</w:t>
      </w:r>
      <w:r>
        <w:t>’</w:t>
      </w:r>
      <w:r w:rsidRPr="00A2654C">
        <w:t xml:space="preserve">s Principal Investigator and Party </w:t>
      </w:r>
      <w:proofErr w:type="spellStart"/>
      <w:r w:rsidRPr="00A2654C">
        <w:t>B each</w:t>
      </w:r>
      <w:proofErr w:type="spellEnd"/>
      <w:r w:rsidRPr="00A2654C">
        <w:t xml:space="preserve"> holding one original.</w:t>
      </w:r>
    </w:p>
    <w:p w14:paraId="2D38DD02" w14:textId="3A6D38A4" w:rsidR="00CC7BE4" w:rsidRPr="00AC509C" w:rsidRDefault="00B71C08" w:rsidP="00BD4DBB">
      <w:pPr>
        <w:pStyle w:val="Standard"/>
        <w:keepNext/>
        <w:tabs>
          <w:tab w:val="left" w:pos="1722"/>
        </w:tabs>
        <w:autoSpaceDE w:val="0"/>
        <w:rPr>
          <w:rFonts w:eastAsia="標楷體"/>
          <w:b/>
          <w:color w:val="000000"/>
          <w:kern w:val="0"/>
        </w:rPr>
      </w:pPr>
      <w:r>
        <w:rPr>
          <w:rFonts w:eastAsia="標楷體" w:hint="eastAsia"/>
          <w:b/>
          <w:color w:val="000000"/>
          <w:kern w:val="0"/>
        </w:rPr>
        <w:br/>
      </w:r>
      <w:r w:rsidRPr="00A2654C">
        <w:rPr>
          <w:b/>
        </w:rPr>
        <w:t xml:space="preserve">Article 25: </w:t>
      </w:r>
      <w:r w:rsidRPr="00A2654C">
        <w:rPr>
          <w:b/>
        </w:rPr>
        <w:tab/>
        <w:t>Miscellaneous</w:t>
      </w:r>
    </w:p>
    <w:p w14:paraId="798355F0" w14:textId="2E8EA87A" w:rsidR="00CC7BE4" w:rsidRPr="00AC509C" w:rsidRDefault="00B71C08" w:rsidP="00B71C08">
      <w:pPr>
        <w:pStyle w:val="Standard"/>
        <w:autoSpaceDE w:val="0"/>
        <w:ind w:left="1701"/>
      </w:pPr>
      <w:r w:rsidRPr="00A2654C">
        <w:t>Any matters not provided herein shall be resolved according to applicable laws and regulations or be added upon mutual consents of both Parties.</w:t>
      </w:r>
    </w:p>
    <w:p w14:paraId="3E84CB94" w14:textId="635D169F" w:rsidR="00CC7BE4" w:rsidRPr="00AC509C" w:rsidRDefault="00B447DA">
      <w:pPr>
        <w:pStyle w:val="Standard"/>
        <w:spacing w:before="240"/>
        <w:jc w:val="center"/>
      </w:pPr>
      <w:r w:rsidRPr="00AC509C">
        <w:rPr>
          <w:rFonts w:eastAsia="標楷體"/>
          <w:color w:val="000000"/>
        </w:rPr>
        <w:t>-----------------------------------</w:t>
      </w:r>
      <w:r w:rsidRPr="00AC509C">
        <w:rPr>
          <w:rFonts w:eastAsia="標楷體"/>
          <w:color w:val="000000"/>
        </w:rPr>
        <w:t>下接簽署頁</w:t>
      </w:r>
      <w:r w:rsidRPr="00AC509C">
        <w:rPr>
          <w:rFonts w:eastAsia="標楷體"/>
          <w:color w:val="000000"/>
        </w:rPr>
        <w:t>-----------------------------------</w:t>
      </w:r>
      <w:r w:rsidR="00B71C08">
        <w:rPr>
          <w:rFonts w:eastAsia="標楷體" w:hint="eastAsia"/>
          <w:color w:val="000000"/>
        </w:rPr>
        <w:br/>
      </w:r>
      <w:r w:rsidR="00B71C08" w:rsidRPr="00A2654C">
        <w:t>Signature page to follow</w:t>
      </w:r>
    </w:p>
    <w:p w14:paraId="0782BC1E" w14:textId="30CCAF26" w:rsidR="00CC7BE4" w:rsidRPr="00AC509C" w:rsidRDefault="008A5380">
      <w:pPr>
        <w:pStyle w:val="Standard"/>
        <w:pageBreakBefore/>
        <w:spacing w:line="240" w:lineRule="atLeast"/>
        <w:jc w:val="center"/>
      </w:pPr>
      <w:r w:rsidRPr="008A5380">
        <w:rPr>
          <w:b/>
          <w:sz w:val="36"/>
          <w:szCs w:val="36"/>
        </w:rPr>
        <w:lastRenderedPageBreak/>
        <w:t>Signature Page</w:t>
      </w:r>
    </w:p>
    <w:p w14:paraId="3D778C16" w14:textId="77777777" w:rsidR="00CC7BE4" w:rsidRPr="00AC509C" w:rsidRDefault="00CC7BE4">
      <w:pPr>
        <w:pStyle w:val="Standard"/>
        <w:rPr>
          <w:rFonts w:eastAsia="標楷體"/>
          <w:b/>
          <w:color w:val="000000"/>
          <w:sz w:val="28"/>
          <w:szCs w:val="28"/>
        </w:rPr>
      </w:pPr>
    </w:p>
    <w:p w14:paraId="2E4602E2" w14:textId="01E4A8D9" w:rsidR="00CC7BE4" w:rsidRPr="00AC509C" w:rsidRDefault="008A5380" w:rsidP="008A5380">
      <w:pPr>
        <w:pStyle w:val="Standard"/>
      </w:pPr>
      <w:r>
        <w:rPr>
          <w:rFonts w:eastAsia="標楷體" w:hint="eastAsia"/>
          <w:b/>
          <w:color w:val="000000"/>
          <w:szCs w:val="28"/>
        </w:rPr>
        <w:br/>
      </w:r>
      <w:r w:rsidRPr="00A2654C">
        <w:rPr>
          <w:b/>
        </w:rPr>
        <w:t>Parties to this Agreement</w:t>
      </w:r>
    </w:p>
    <w:p w14:paraId="4EE9583D" w14:textId="77777777" w:rsidR="00CC7BE4" w:rsidRPr="00AC509C" w:rsidRDefault="00CC7BE4" w:rsidP="008A5380">
      <w:pPr>
        <w:pStyle w:val="Standard"/>
        <w:rPr>
          <w:rFonts w:eastAsia="標楷體"/>
          <w:b/>
          <w:color w:val="000000"/>
          <w:szCs w:val="28"/>
        </w:rPr>
      </w:pPr>
    </w:p>
    <w:p w14:paraId="68EB0894" w14:textId="62B9A344" w:rsidR="00CC7BE4" w:rsidRPr="00AC509C" w:rsidRDefault="008A5380" w:rsidP="008A5380">
      <w:pPr>
        <w:pStyle w:val="Standard"/>
        <w:snapToGrid w:val="0"/>
        <w:spacing w:before="540" w:after="180"/>
      </w:pPr>
      <w:r w:rsidRPr="00A2654C">
        <w:rPr>
          <w:b/>
        </w:rPr>
        <w:t>Party A</w:t>
      </w:r>
      <w:r w:rsidR="00F94EE4" w:rsidRPr="00F94EE4">
        <w:t xml:space="preserve"> </w:t>
      </w:r>
      <w:r w:rsidR="00BD4DBB">
        <w:rPr>
          <w:rFonts w:asciiTheme="minorEastAsia" w:eastAsiaTheme="minorEastAsia" w:hAnsiTheme="minorEastAsia" w:hint="eastAsia"/>
          <w:b/>
        </w:rPr>
        <w:t xml:space="preserve">                                                 </w:t>
      </w:r>
      <w:r w:rsidR="00F94EE4" w:rsidRPr="00F94EE4">
        <w:rPr>
          <w:b/>
        </w:rPr>
        <w:t xml:space="preserve">Hospital </w:t>
      </w:r>
      <w:r w:rsidRPr="00A2654C">
        <w:t xml:space="preserve">(Contract Representative: Taipei Medical University Representative: President </w:t>
      </w:r>
      <w:proofErr w:type="spellStart"/>
      <w:r w:rsidR="0014713C">
        <w:rPr>
          <w:rFonts w:eastAsia="標楷體"/>
          <w:color w:val="000000"/>
          <w:szCs w:val="28"/>
        </w:rPr>
        <w:t>Chien</w:t>
      </w:r>
      <w:proofErr w:type="spellEnd"/>
      <w:r w:rsidR="0014713C">
        <w:rPr>
          <w:rFonts w:eastAsia="標楷體"/>
          <w:color w:val="000000"/>
          <w:szCs w:val="28"/>
        </w:rPr>
        <w:t>-Huang Lin</w:t>
      </w:r>
      <w:r w:rsidRPr="00A2654C">
        <w:t>)</w:t>
      </w:r>
    </w:p>
    <w:p w14:paraId="1BB50F9A" w14:textId="1793CB92" w:rsidR="00CC7BE4" w:rsidRPr="00AC509C" w:rsidRDefault="008A5380" w:rsidP="008A5380">
      <w:pPr>
        <w:pStyle w:val="Standard"/>
        <w:snapToGrid w:val="0"/>
        <w:spacing w:before="180" w:after="180"/>
      </w:pPr>
      <w:r w:rsidRPr="00A2654C">
        <w:t>Tax ID No.:</w:t>
      </w:r>
    </w:p>
    <w:p w14:paraId="0C2447C3" w14:textId="1051C17A" w:rsidR="00CC7BE4" w:rsidRPr="00AC509C" w:rsidRDefault="008A5380" w:rsidP="008A5380">
      <w:pPr>
        <w:pStyle w:val="Standard"/>
        <w:snapToGrid w:val="0"/>
        <w:spacing w:before="180" w:after="180"/>
      </w:pPr>
      <w:r w:rsidRPr="00A2654C">
        <w:t xml:space="preserve">Address: </w:t>
      </w:r>
    </w:p>
    <w:p w14:paraId="66E1BBE2" w14:textId="4D1D6717" w:rsidR="00CC7BE4" w:rsidRPr="00AC509C" w:rsidRDefault="008A5380" w:rsidP="008A5380">
      <w:pPr>
        <w:pStyle w:val="Standard"/>
        <w:snapToGrid w:val="0"/>
        <w:spacing w:before="180" w:after="180"/>
      </w:pPr>
      <w:r w:rsidRPr="00A2654C">
        <w:t>Principal Investigator:</w:t>
      </w:r>
      <w:r w:rsidR="0014713C" w:rsidRPr="0014713C">
        <w:t xml:space="preserve"> </w:t>
      </w:r>
      <w:r w:rsidR="0014713C" w:rsidRPr="00F94EE4">
        <w:t xml:space="preserve">J. Timothy </w:t>
      </w:r>
      <w:proofErr w:type="spellStart"/>
      <w:r w:rsidR="0014713C" w:rsidRPr="00F94EE4">
        <w:t>Qiu</w:t>
      </w:r>
      <w:proofErr w:type="spellEnd"/>
      <w:r w:rsidRPr="00A2654C">
        <w:t xml:space="preserve"> </w:t>
      </w:r>
    </w:p>
    <w:p w14:paraId="7CF1C835" w14:textId="77777777" w:rsidR="00CC7BE4" w:rsidRPr="00AC509C" w:rsidRDefault="00CC7BE4" w:rsidP="008A5380">
      <w:pPr>
        <w:pStyle w:val="Standard"/>
        <w:snapToGrid w:val="0"/>
        <w:spacing w:before="360" w:after="180"/>
        <w:ind w:firstLine="991"/>
        <w:rPr>
          <w:rFonts w:eastAsia="標楷體"/>
          <w:color w:val="000000"/>
          <w:szCs w:val="28"/>
        </w:rPr>
      </w:pPr>
    </w:p>
    <w:p w14:paraId="629A83CD" w14:textId="77777777" w:rsidR="00CC7BE4" w:rsidRPr="00AC509C" w:rsidRDefault="00CC7BE4" w:rsidP="008A5380">
      <w:pPr>
        <w:pStyle w:val="Standard"/>
        <w:snapToGrid w:val="0"/>
        <w:spacing w:before="360" w:after="180"/>
        <w:ind w:firstLine="991"/>
        <w:rPr>
          <w:rFonts w:eastAsia="標楷體"/>
          <w:color w:val="000000"/>
          <w:szCs w:val="28"/>
        </w:rPr>
      </w:pPr>
    </w:p>
    <w:p w14:paraId="5CBF34B3" w14:textId="387EFD92" w:rsidR="00CC7BE4" w:rsidRPr="00AC509C" w:rsidRDefault="008A5380" w:rsidP="008A5380">
      <w:pPr>
        <w:pStyle w:val="Standard"/>
        <w:snapToGrid w:val="0"/>
        <w:spacing w:before="180" w:after="180"/>
      </w:pPr>
      <w:r w:rsidRPr="00A2654C">
        <w:rPr>
          <w:b/>
        </w:rPr>
        <w:t>Party B:</w:t>
      </w:r>
    </w:p>
    <w:p w14:paraId="2E55A014" w14:textId="12FA10F0" w:rsidR="00CC7BE4" w:rsidRPr="0014713C" w:rsidRDefault="008A5380" w:rsidP="008A5380">
      <w:pPr>
        <w:pStyle w:val="Standard"/>
        <w:snapToGrid w:val="0"/>
        <w:spacing w:before="180" w:after="180"/>
        <w:rPr>
          <w:highlight w:val="yellow"/>
        </w:rPr>
      </w:pPr>
      <w:r w:rsidRPr="0014713C">
        <w:rPr>
          <w:highlight w:val="yellow"/>
        </w:rPr>
        <w:t>Representative:</w:t>
      </w:r>
    </w:p>
    <w:p w14:paraId="406F28FC" w14:textId="243C191B" w:rsidR="00CC7BE4" w:rsidRPr="00AC509C" w:rsidRDefault="008A5380" w:rsidP="008A5380">
      <w:pPr>
        <w:pStyle w:val="Standard"/>
        <w:snapToGrid w:val="0"/>
        <w:spacing w:before="180" w:after="180"/>
      </w:pPr>
      <w:r w:rsidRPr="0014713C">
        <w:rPr>
          <w:highlight w:val="yellow"/>
        </w:rPr>
        <w:t>Address:</w:t>
      </w:r>
    </w:p>
    <w:p w14:paraId="0384191A" w14:textId="77777777" w:rsidR="00CC7BE4" w:rsidRPr="00AC509C" w:rsidRDefault="00CC7BE4">
      <w:pPr>
        <w:pStyle w:val="Standard"/>
        <w:snapToGrid w:val="0"/>
        <w:spacing w:before="180" w:after="180"/>
        <w:rPr>
          <w:rFonts w:eastAsia="標楷體"/>
          <w:b/>
          <w:color w:val="000000"/>
          <w:szCs w:val="28"/>
        </w:rPr>
      </w:pPr>
    </w:p>
    <w:p w14:paraId="7DC3ADD8" w14:textId="77777777" w:rsidR="00CC7BE4" w:rsidRPr="00AC509C" w:rsidRDefault="00CC7BE4">
      <w:pPr>
        <w:pStyle w:val="Standard"/>
        <w:rPr>
          <w:rFonts w:eastAsia="標楷體"/>
          <w:b/>
          <w:color w:val="000000"/>
          <w:szCs w:val="28"/>
        </w:rPr>
      </w:pPr>
    </w:p>
    <w:p w14:paraId="56F12889" w14:textId="77777777" w:rsidR="00CC7BE4" w:rsidRPr="00AC509C" w:rsidRDefault="00CC7BE4">
      <w:pPr>
        <w:pStyle w:val="Standard"/>
        <w:rPr>
          <w:rFonts w:eastAsia="標楷體"/>
          <w:color w:val="000000"/>
          <w:szCs w:val="28"/>
        </w:rPr>
      </w:pPr>
    </w:p>
    <w:p w14:paraId="7CACED5A" w14:textId="77777777" w:rsidR="00CC7BE4" w:rsidRPr="00AC509C" w:rsidRDefault="00CC7BE4">
      <w:pPr>
        <w:pStyle w:val="Standard"/>
        <w:jc w:val="both"/>
        <w:rPr>
          <w:rFonts w:eastAsia="標楷體"/>
          <w:color w:val="000000"/>
          <w:szCs w:val="28"/>
        </w:rPr>
      </w:pPr>
    </w:p>
    <w:p w14:paraId="111A90E1" w14:textId="77777777" w:rsidR="00CC7BE4" w:rsidRPr="00AC509C" w:rsidRDefault="00CC7BE4">
      <w:pPr>
        <w:pStyle w:val="Standard"/>
        <w:jc w:val="both"/>
        <w:rPr>
          <w:rFonts w:eastAsia="標楷體"/>
          <w:color w:val="000000"/>
          <w:szCs w:val="28"/>
        </w:rPr>
      </w:pPr>
    </w:p>
    <w:p w14:paraId="4334D2E4" w14:textId="77777777" w:rsidR="00CC7BE4" w:rsidRPr="00AC509C" w:rsidRDefault="00CC7BE4">
      <w:pPr>
        <w:pStyle w:val="Standard"/>
        <w:jc w:val="both"/>
        <w:rPr>
          <w:rFonts w:eastAsia="標楷體"/>
          <w:color w:val="000000"/>
          <w:szCs w:val="28"/>
        </w:rPr>
      </w:pPr>
    </w:p>
    <w:p w14:paraId="5C8B55C9" w14:textId="77777777" w:rsidR="00CC7BE4" w:rsidRPr="00AC509C" w:rsidRDefault="00CC7BE4">
      <w:pPr>
        <w:pStyle w:val="Standard"/>
        <w:jc w:val="both"/>
        <w:rPr>
          <w:rFonts w:eastAsia="標楷體"/>
          <w:color w:val="000000"/>
          <w:szCs w:val="28"/>
        </w:rPr>
      </w:pPr>
    </w:p>
    <w:p w14:paraId="6866DB81" w14:textId="77777777" w:rsidR="00CC7BE4" w:rsidRPr="00AC509C" w:rsidRDefault="00CC7BE4">
      <w:pPr>
        <w:pStyle w:val="Standard"/>
        <w:jc w:val="both"/>
        <w:rPr>
          <w:rFonts w:eastAsia="標楷體"/>
          <w:color w:val="000000"/>
          <w:szCs w:val="28"/>
        </w:rPr>
      </w:pPr>
    </w:p>
    <w:p w14:paraId="4CFFDBC0" w14:textId="77777777" w:rsidR="00CC7BE4" w:rsidRPr="00AC509C" w:rsidRDefault="00CC7BE4">
      <w:pPr>
        <w:pStyle w:val="Standard"/>
        <w:jc w:val="both"/>
        <w:rPr>
          <w:rFonts w:eastAsia="標楷體"/>
          <w:color w:val="000000"/>
          <w:szCs w:val="28"/>
        </w:rPr>
      </w:pPr>
    </w:p>
    <w:p w14:paraId="0E9E2035" w14:textId="77777777" w:rsidR="00CC7BE4" w:rsidRPr="00AC509C" w:rsidRDefault="00CC7BE4">
      <w:pPr>
        <w:pStyle w:val="Standard"/>
        <w:jc w:val="both"/>
        <w:rPr>
          <w:rFonts w:eastAsia="標楷體"/>
          <w:color w:val="000000"/>
          <w:szCs w:val="28"/>
        </w:rPr>
      </w:pPr>
    </w:p>
    <w:p w14:paraId="6346415B" w14:textId="77777777" w:rsidR="00CC7BE4" w:rsidRPr="00AC509C" w:rsidRDefault="00CC7BE4">
      <w:pPr>
        <w:pStyle w:val="Standard"/>
        <w:jc w:val="both"/>
        <w:rPr>
          <w:rFonts w:eastAsia="標楷體"/>
          <w:color w:val="000000"/>
          <w:szCs w:val="28"/>
        </w:rPr>
      </w:pPr>
    </w:p>
    <w:p w14:paraId="501A9881" w14:textId="72157B21" w:rsidR="00CC7BE4" w:rsidRPr="008A5380" w:rsidRDefault="008A5380" w:rsidP="008A5380">
      <w:pPr>
        <w:pStyle w:val="Standard"/>
      </w:pPr>
      <w:r w:rsidRPr="00A2654C">
        <w:t>MM/DD/YYYY</w:t>
      </w:r>
    </w:p>
    <w:p w14:paraId="27595D90" w14:textId="06EFA42E" w:rsidR="00CC7BE4" w:rsidRPr="00AC509C" w:rsidRDefault="00E91973">
      <w:pPr>
        <w:pStyle w:val="Standard"/>
        <w:pageBreakBefore/>
        <w:rPr>
          <w:rFonts w:eastAsia="標楷體"/>
          <w:b/>
          <w:color w:val="000000"/>
          <w:sz w:val="36"/>
          <w:szCs w:val="28"/>
        </w:rPr>
      </w:pPr>
      <w:r w:rsidRPr="00E91973">
        <w:rPr>
          <w:rFonts w:eastAsia="標楷體"/>
          <w:b/>
          <w:color w:val="000000"/>
          <w:sz w:val="36"/>
          <w:szCs w:val="28"/>
        </w:rPr>
        <w:lastRenderedPageBreak/>
        <w:t>Appendix 1: Protocol</w:t>
      </w:r>
    </w:p>
    <w:p w14:paraId="2A6728D8" w14:textId="77777777" w:rsidR="00CC7BE4" w:rsidRPr="00AC509C" w:rsidRDefault="00CC7BE4">
      <w:pPr>
        <w:pStyle w:val="Standard"/>
        <w:rPr>
          <w:rFonts w:eastAsia="標楷體"/>
          <w:b/>
          <w:color w:val="000000"/>
          <w:sz w:val="36"/>
          <w:szCs w:val="28"/>
        </w:rPr>
      </w:pPr>
    </w:p>
    <w:p w14:paraId="52969D8A" w14:textId="11BAF3A3" w:rsidR="00CC7BE4" w:rsidRPr="00AC509C" w:rsidRDefault="00E91973">
      <w:pPr>
        <w:pStyle w:val="Standard"/>
        <w:pageBreakBefore/>
        <w:rPr>
          <w:rFonts w:eastAsia="標楷體"/>
          <w:b/>
          <w:color w:val="000000"/>
          <w:sz w:val="36"/>
          <w:szCs w:val="28"/>
        </w:rPr>
      </w:pPr>
      <w:r w:rsidRPr="00E91973">
        <w:rPr>
          <w:rFonts w:eastAsia="標楷體"/>
          <w:b/>
          <w:color w:val="000000"/>
          <w:sz w:val="36"/>
          <w:szCs w:val="28"/>
        </w:rPr>
        <w:lastRenderedPageBreak/>
        <w:t>Appendix 2: Budget Table</w:t>
      </w:r>
    </w:p>
    <w:p w14:paraId="7726A460" w14:textId="77777777" w:rsidR="00CC7BE4" w:rsidRPr="00AC509C" w:rsidRDefault="00CC7BE4">
      <w:pPr>
        <w:pStyle w:val="Standard"/>
        <w:rPr>
          <w:rFonts w:eastAsia="標楷體"/>
          <w:b/>
          <w:color w:val="000000"/>
          <w:sz w:val="36"/>
          <w:szCs w:val="28"/>
        </w:rPr>
      </w:pPr>
    </w:p>
    <w:sectPr w:rsidR="00CC7BE4" w:rsidRPr="00AC509C">
      <w:headerReference w:type="default" r:id="rId19"/>
      <w:footerReference w:type="default" r:id="rId20"/>
      <w:pgSz w:w="11906" w:h="16838"/>
      <w:pgMar w:top="1134" w:right="1134" w:bottom="1134" w:left="1134" w:header="851" w:footer="664"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BC26A8" w16cex:dateUtc="2021-01-27T09:51:00Z"/>
  <w16cex:commentExtensible w16cex:durableId="23BAD7E7" w16cex:dateUtc="2021-01-26T10:03:00Z"/>
  <w16cex:commentExtensible w16cex:durableId="23BC2824" w16cex:dateUtc="2021-01-27T09:57:00Z"/>
  <w16cex:commentExtensible w16cex:durableId="23BADD40" w16cex:dateUtc="2021-01-26T10:2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BCC3F77" w16cid:durableId="23BC26A8"/>
  <w16cid:commentId w16cid:paraId="457D4819" w16cid:durableId="23BAD7E7"/>
  <w16cid:commentId w16cid:paraId="38B9ABA0" w16cid:durableId="23BC2824"/>
  <w16cid:commentId w16cid:paraId="1873BD95" w16cid:durableId="23BADD40"/>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816685" w14:textId="77777777" w:rsidR="00984DEF" w:rsidRDefault="00984DEF">
      <w:r>
        <w:separator/>
      </w:r>
    </w:p>
  </w:endnote>
  <w:endnote w:type="continuationSeparator" w:id="0">
    <w:p w14:paraId="07E1DA2A" w14:textId="77777777" w:rsidR="00984DEF" w:rsidRDefault="00984D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Liberation Serif">
    <w:altName w:val="Times New Roman"/>
    <w:charset w:val="00"/>
    <w:family w:val="roman"/>
    <w:pitch w:val="variable"/>
    <w:sig w:usb0="E0000AFF" w:usb1="500078FF" w:usb2="00000021" w:usb3="00000000" w:csb0="000001BF" w:csb1="00000000"/>
  </w:font>
  <w:font w:name="新細明體">
    <w:altName w:val="PMingLiU"/>
    <w:panose1 w:val="02020500000000000000"/>
    <w:charset w:val="88"/>
    <w:family w:val="roman"/>
    <w:pitch w:val="variable"/>
    <w:sig w:usb0="A00002FF" w:usb1="28CFFCFA" w:usb2="00000016" w:usb3="00000000" w:csb0="00100001" w:csb1="00000000"/>
  </w:font>
  <w:font w:name="Mangal">
    <w:altName w:val="Courier New"/>
    <w:panose1 w:val="00000400000000000000"/>
    <w:charset w:val="00"/>
    <w:family w:val="roman"/>
    <w:pitch w:val="variable"/>
    <w:sig w:usb0="00000003" w:usb1="00000000" w:usb2="00000000" w:usb3="00000000" w:csb0="00000001" w:csb1="00000000"/>
  </w:font>
  <w:font w:name="新細明體, PMingLiU">
    <w:altName w:val="Times New Roman"/>
    <w:charset w:val="00"/>
    <w:family w:val="roman"/>
    <w:pitch w:val="variable"/>
  </w:font>
  <w:font w:name="Liberation Sans">
    <w:charset w:val="00"/>
    <w:family w:val="swiss"/>
    <w:pitch w:val="variable"/>
    <w:sig w:usb0="E0000AFF" w:usb1="500078FF" w:usb2="00000021" w:usb3="00000000" w:csb0="000001BF" w:csb1="00000000"/>
  </w:font>
  <w:font w:name="微軟正黑體">
    <w:panose1 w:val="020B0604030504040204"/>
    <w:charset w:val="88"/>
    <w:family w:val="swiss"/>
    <w:pitch w:val="variable"/>
    <w:sig w:usb0="000002A7" w:usb1="28CF4400" w:usb2="00000016" w:usb3="00000000" w:csb0="00100009" w:csb1="00000000"/>
  </w:font>
  <w:font w:name="華康楷書體W5, 微軟正黑體">
    <w:altName w:val="Calibri"/>
    <w:charset w:val="00"/>
    <w:family w:val="modern"/>
    <w:pitch w:val="default"/>
  </w:font>
  <w:font w:name="華康隸書體W5, 細明體">
    <w:charset w:val="00"/>
    <w:family w:val="script"/>
    <w:pitch w:val="default"/>
  </w:font>
  <w:font w:name="Cambria">
    <w:panose1 w:val="02040503050406030204"/>
    <w:charset w:val="00"/>
    <w:family w:val="roman"/>
    <w:pitch w:val="variable"/>
    <w:sig w:usb0="E00006FF" w:usb1="420024FF" w:usb2="02000000" w:usb3="00000000" w:csb0="0000019F" w:csb1="00000000"/>
  </w:font>
  <w:font w:name="細明體, MingLiU">
    <w:charset w:val="00"/>
    <w:family w:val="modern"/>
    <w:pitch w:val="default"/>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06618C" w14:textId="7E9850AA" w:rsidR="00065A09" w:rsidRPr="00810392" w:rsidRDefault="00B447DA">
    <w:pPr>
      <w:pStyle w:val="a5"/>
      <w:rPr>
        <w:rFonts w:eastAsia="標楷體"/>
      </w:rPr>
    </w:pPr>
    <w:r w:rsidRPr="00810392">
      <w:rPr>
        <w:rFonts w:eastAsia="標楷體"/>
      </w:rPr>
      <w:tab/>
      <w:t xml:space="preserve">                </w:t>
    </w:r>
    <w:r w:rsidRPr="00810392">
      <w:rPr>
        <w:rFonts w:eastAsia="標楷體"/>
      </w:rPr>
      <w:fldChar w:fldCharType="begin"/>
    </w:r>
    <w:r w:rsidRPr="00810392">
      <w:rPr>
        <w:rFonts w:eastAsia="標楷體"/>
      </w:rPr>
      <w:instrText xml:space="preserve"> PAGE </w:instrText>
    </w:r>
    <w:r w:rsidRPr="00810392">
      <w:rPr>
        <w:rFonts w:eastAsia="標楷體"/>
      </w:rPr>
      <w:fldChar w:fldCharType="separate"/>
    </w:r>
    <w:r w:rsidR="00AA6489">
      <w:rPr>
        <w:rFonts w:eastAsia="標楷體"/>
        <w:noProof/>
      </w:rPr>
      <w:t>3</w:t>
    </w:r>
    <w:r w:rsidRPr="00810392">
      <w:rPr>
        <w:rFonts w:eastAsia="標楷體"/>
      </w:rPr>
      <w:fldChar w:fldCharType="end"/>
    </w:r>
  </w:p>
  <w:p w14:paraId="016374CF" w14:textId="53B5CD75" w:rsidR="00810392" w:rsidRDefault="00B447DA" w:rsidP="00BD4DBB">
    <w:pPr>
      <w:pStyle w:val="a5"/>
      <w:ind w:right="160"/>
      <w:jc w:val="right"/>
      <w:rPr>
        <w:rFonts w:ascii="標楷體" w:eastAsia="標楷體" w:hAnsi="標楷體" w:cs="標楷體"/>
        <w:sz w:val="16"/>
        <w:szCs w:val="16"/>
      </w:rPr>
    </w:pPr>
    <w:r w:rsidRPr="00810392">
      <w:rPr>
        <w:rFonts w:ascii="標楷體" w:eastAsia="標楷體" w:hAnsi="標楷體" w:cs="標楷體"/>
        <w:sz w:val="16"/>
        <w:szCs w:val="16"/>
      </w:rPr>
      <w:t xml:space="preserve">　　　　　　　　　　　　　　　　　　　　　　　　　　　　　　　　　　　　　　</w:t>
    </w:r>
    <w:r w:rsidR="00BD4DBB">
      <w:rPr>
        <w:rFonts w:ascii="標楷體" w:eastAsia="標楷體" w:hAnsi="標楷體" w:cs="標楷體"/>
        <w:sz w:val="16"/>
        <w:szCs w:val="16"/>
      </w:rPr>
      <w:t xml:space="preserve">   </w:t>
    </w:r>
  </w:p>
  <w:p w14:paraId="6ED9275A" w14:textId="5886A7F9" w:rsidR="00065A09" w:rsidRPr="00810392" w:rsidRDefault="00810392" w:rsidP="0004403C">
    <w:pPr>
      <w:pStyle w:val="a5"/>
      <w:tabs>
        <w:tab w:val="clear" w:pos="8306"/>
        <w:tab w:val="right" w:pos="9617"/>
      </w:tabs>
      <w:rPr>
        <w:rFonts w:eastAsia="標楷體"/>
        <w:sz w:val="16"/>
        <w:szCs w:val="16"/>
      </w:rPr>
    </w:pPr>
    <w:r>
      <w:rPr>
        <w:rFonts w:eastAsia="標楷體"/>
        <w:sz w:val="16"/>
        <w:szCs w:val="16"/>
      </w:rPr>
      <w:t>Confidentiality</w:t>
    </w:r>
    <w:r>
      <w:rPr>
        <w:rFonts w:eastAsia="標楷體"/>
        <w:sz w:val="16"/>
        <w:szCs w:val="16"/>
      </w:rPr>
      <w:tab/>
    </w:r>
    <w:r>
      <w:rPr>
        <w:rFonts w:eastAsia="標楷體" w:hint="eastAsia"/>
        <w:sz w:val="16"/>
        <w:szCs w:val="16"/>
      </w:rPr>
      <w:tab/>
    </w:r>
    <w:proofErr w:type="spellStart"/>
    <w:r w:rsidR="00BF4E1B" w:rsidRPr="00810392">
      <w:rPr>
        <w:rFonts w:eastAsia="標楷體"/>
        <w:sz w:val="16"/>
        <w:szCs w:val="16"/>
      </w:rPr>
      <w:t>Template_OHR</w:t>
    </w:r>
    <w:proofErr w:type="spellEnd"/>
    <w:r w:rsidR="00BF4E1B" w:rsidRPr="00810392">
      <w:rPr>
        <w:rFonts w:eastAsia="標楷體"/>
        <w:sz w:val="16"/>
        <w:szCs w:val="16"/>
      </w:rPr>
      <w:t xml:space="preserve"> _Clinical Study Agreement_20200915_V4</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6C2A00" w14:textId="77777777" w:rsidR="00984DEF" w:rsidRDefault="00984DEF">
      <w:r>
        <w:rPr>
          <w:color w:val="000000"/>
        </w:rPr>
        <w:separator/>
      </w:r>
    </w:p>
  </w:footnote>
  <w:footnote w:type="continuationSeparator" w:id="0">
    <w:p w14:paraId="7A347B60" w14:textId="77777777" w:rsidR="00984DEF" w:rsidRDefault="00984DE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937D6D" w14:textId="77777777" w:rsidR="00065A09" w:rsidRDefault="00B447DA">
    <w:pPr>
      <w:pStyle w:val="a6"/>
    </w:pPr>
    <w:r>
      <w:rPr>
        <w:noProof/>
      </w:rPr>
      <w:drawing>
        <wp:anchor distT="0" distB="0" distL="114300" distR="114300" simplePos="0" relativeHeight="251659264" behindDoc="1" locked="0" layoutInCell="1" allowOverlap="1" wp14:anchorId="49F0D691" wp14:editId="3764525E">
          <wp:simplePos x="0" y="0"/>
          <wp:positionH relativeFrom="margin">
            <wp:align>center</wp:align>
          </wp:positionH>
          <wp:positionV relativeFrom="margin">
            <wp:align>center</wp:align>
          </wp:positionV>
          <wp:extent cx="1802880" cy="1819439"/>
          <wp:effectExtent l="0" t="0" r="6870" b="9361"/>
          <wp:wrapNone/>
          <wp:docPr id="1" name="WordPictureWatermark97433583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1802880" cy="1819439"/>
                  </a:xfrm>
                  <a:prstGeom prst="rect">
                    <a:avLst/>
                  </a:prstGeom>
                  <a:ln>
                    <a:noFill/>
                    <a:prstDash/>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31E71"/>
    <w:multiLevelType w:val="multilevel"/>
    <w:tmpl w:val="20C6CF50"/>
    <w:styleLink w:val="WW8Num24"/>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091B0510"/>
    <w:multiLevelType w:val="multilevel"/>
    <w:tmpl w:val="B4800ADC"/>
    <w:styleLink w:val="WW8Num23"/>
    <w:lvl w:ilvl="0">
      <w:start w:val="1"/>
      <w:numFmt w:val="decimal"/>
      <w:lvlText w:val="(%1)"/>
      <w:lvlJc w:val="left"/>
      <w:pPr>
        <w:ind w:left="1330" w:hanging="480"/>
      </w:pPr>
    </w:lvl>
    <w:lvl w:ilvl="1">
      <w:start w:val="1"/>
      <w:numFmt w:val="ideographTraditional"/>
      <w:lvlText w:val="%2、"/>
      <w:lvlJc w:val="left"/>
      <w:pPr>
        <w:ind w:left="1810" w:hanging="480"/>
      </w:pPr>
    </w:lvl>
    <w:lvl w:ilvl="2">
      <w:start w:val="1"/>
      <w:numFmt w:val="lowerRoman"/>
      <w:lvlText w:val="%3."/>
      <w:lvlJc w:val="right"/>
      <w:pPr>
        <w:ind w:left="2290" w:hanging="480"/>
      </w:pPr>
    </w:lvl>
    <w:lvl w:ilvl="3">
      <w:start w:val="1"/>
      <w:numFmt w:val="decimal"/>
      <w:lvlText w:val="%4."/>
      <w:lvlJc w:val="left"/>
      <w:pPr>
        <w:ind w:left="2770" w:hanging="480"/>
      </w:pPr>
    </w:lvl>
    <w:lvl w:ilvl="4">
      <w:start w:val="1"/>
      <w:numFmt w:val="ideographTraditional"/>
      <w:lvlText w:val="%5、"/>
      <w:lvlJc w:val="left"/>
      <w:pPr>
        <w:ind w:left="3250" w:hanging="480"/>
      </w:pPr>
    </w:lvl>
    <w:lvl w:ilvl="5">
      <w:start w:val="1"/>
      <w:numFmt w:val="lowerRoman"/>
      <w:lvlText w:val="%6."/>
      <w:lvlJc w:val="right"/>
      <w:pPr>
        <w:ind w:left="3730" w:hanging="480"/>
      </w:pPr>
    </w:lvl>
    <w:lvl w:ilvl="6">
      <w:start w:val="1"/>
      <w:numFmt w:val="decimal"/>
      <w:lvlText w:val="%7."/>
      <w:lvlJc w:val="left"/>
      <w:pPr>
        <w:ind w:left="4210" w:hanging="480"/>
      </w:pPr>
    </w:lvl>
    <w:lvl w:ilvl="7">
      <w:start w:val="1"/>
      <w:numFmt w:val="ideographTraditional"/>
      <w:lvlText w:val="%8、"/>
      <w:lvlJc w:val="left"/>
      <w:pPr>
        <w:ind w:left="4690" w:hanging="480"/>
      </w:pPr>
    </w:lvl>
    <w:lvl w:ilvl="8">
      <w:start w:val="1"/>
      <w:numFmt w:val="lowerRoman"/>
      <w:lvlText w:val="%9."/>
      <w:lvlJc w:val="right"/>
      <w:pPr>
        <w:ind w:left="5170" w:hanging="480"/>
      </w:pPr>
    </w:lvl>
  </w:abstractNum>
  <w:abstractNum w:abstractNumId="2" w15:restartNumberingAfterBreak="0">
    <w:nsid w:val="0CF6715F"/>
    <w:multiLevelType w:val="multilevel"/>
    <w:tmpl w:val="4FBEC292"/>
    <w:styleLink w:val="WW8Num43"/>
    <w:lvl w:ilvl="0">
      <w:start w:val="1"/>
      <w:numFmt w:val="decimal"/>
      <w:lvlText w:val="%1."/>
      <w:lvlJc w:val="left"/>
      <w:pPr>
        <w:ind w:left="480" w:hanging="480"/>
      </w:pPr>
      <w:rPr>
        <w:sz w:val="24"/>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 w15:restartNumberingAfterBreak="0">
    <w:nsid w:val="10356BE1"/>
    <w:multiLevelType w:val="multilevel"/>
    <w:tmpl w:val="D054C5F2"/>
    <w:styleLink w:val="WW8Num14"/>
    <w:lvl w:ilvl="0">
      <w:start w:val="1"/>
      <w:numFmt w:val="decimal"/>
      <w:lvlText w:val="%1."/>
      <w:lvlJc w:val="left"/>
      <w:pPr>
        <w:ind w:left="480" w:hanging="480"/>
      </w:pPr>
      <w:rPr>
        <w:sz w:val="20"/>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 w15:restartNumberingAfterBreak="0">
    <w:nsid w:val="133D4D6E"/>
    <w:multiLevelType w:val="multilevel"/>
    <w:tmpl w:val="701A13EC"/>
    <w:styleLink w:val="WW8Num45"/>
    <w:lvl w:ilvl="0">
      <w:start w:val="1"/>
      <w:numFmt w:val="decimal"/>
      <w:lvlText w:val="%1."/>
      <w:lvlJc w:val="left"/>
      <w:pPr>
        <w:ind w:left="480" w:hanging="480"/>
      </w:pPr>
      <w:rPr>
        <w:rFonts w:ascii="標楷體" w:eastAsia="標楷體" w:hAnsi="標楷體" w:cs="Times New Roman"/>
        <w:sz w:val="24"/>
        <w:szCs w:val="24"/>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 w15:restartNumberingAfterBreak="0">
    <w:nsid w:val="16365177"/>
    <w:multiLevelType w:val="multilevel"/>
    <w:tmpl w:val="31EC958A"/>
    <w:lvl w:ilvl="0">
      <w:start w:val="1"/>
      <w:numFmt w:val="japaneseCounting"/>
      <w:lvlText w:val="第%1條："/>
      <w:lvlJc w:val="left"/>
      <w:pPr>
        <w:ind w:left="480" w:hanging="480"/>
      </w:pPr>
      <w:rPr>
        <w:rFonts w:eastAsia="標楷體"/>
        <w:b/>
        <w:i w:val="0"/>
        <w:color w:val="000000"/>
        <w:kern w:val="0"/>
        <w:sz w:val="24"/>
      </w:rPr>
    </w:lvl>
    <w:lvl w:ilvl="1">
      <w:start w:val="1"/>
      <w:numFmt w:val="japaneseCounting"/>
      <w:lvlText w:val="%2、"/>
      <w:lvlJc w:val="left"/>
      <w:pPr>
        <w:ind w:left="960" w:hanging="480"/>
      </w:pPr>
      <w:rPr>
        <w:rFonts w:eastAsia="標楷體"/>
        <w:color w:val="000000"/>
        <w:kern w:val="0"/>
        <w:lang w:val="en-US"/>
      </w:rPr>
    </w:lvl>
    <w:lvl w:ilvl="2">
      <w:start w:val="1"/>
      <w:numFmt w:val="decimal"/>
      <w:lvlText w:val="%3."/>
      <w:lvlJc w:val="left"/>
      <w:pPr>
        <w:ind w:left="1440" w:hanging="480"/>
      </w:pPr>
      <w:rPr>
        <w:rFonts w:eastAsia="標楷體"/>
        <w:color w:val="000000"/>
        <w:kern w:val="0"/>
      </w:r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 w15:restartNumberingAfterBreak="0">
    <w:nsid w:val="1CE0794F"/>
    <w:multiLevelType w:val="multilevel"/>
    <w:tmpl w:val="48A667C0"/>
    <w:styleLink w:val="WW8Num41"/>
    <w:lvl w:ilvl="0">
      <w:start w:val="1"/>
      <w:numFmt w:val="decimal"/>
      <w:lvlText w:val="%1."/>
      <w:lvlJc w:val="left"/>
      <w:pPr>
        <w:ind w:left="480" w:hanging="480"/>
      </w:pPr>
      <w:rPr>
        <w:sz w:val="24"/>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7" w15:restartNumberingAfterBreak="0">
    <w:nsid w:val="1DCB23FC"/>
    <w:multiLevelType w:val="multilevel"/>
    <w:tmpl w:val="68584E2C"/>
    <w:styleLink w:val="WW8Num29"/>
    <w:lvl w:ilvl="0">
      <w:start w:val="1"/>
      <w:numFmt w:val="decimal"/>
      <w:lvlText w:val="%1."/>
      <w:lvlJc w:val="left"/>
      <w:pPr>
        <w:ind w:left="1047" w:hanging="480"/>
      </w:pPr>
      <w:rPr>
        <w:sz w:val="24"/>
      </w:rPr>
    </w:lvl>
    <w:lvl w:ilvl="1">
      <w:start w:val="1"/>
      <w:numFmt w:val="ideographTraditional"/>
      <w:lvlText w:val="%2、"/>
      <w:lvlJc w:val="left"/>
      <w:pPr>
        <w:ind w:left="1527" w:hanging="480"/>
      </w:pPr>
    </w:lvl>
    <w:lvl w:ilvl="2">
      <w:start w:val="1"/>
      <w:numFmt w:val="lowerRoman"/>
      <w:lvlText w:val="%3."/>
      <w:lvlJc w:val="right"/>
      <w:pPr>
        <w:ind w:left="2007" w:hanging="480"/>
      </w:pPr>
    </w:lvl>
    <w:lvl w:ilvl="3">
      <w:start w:val="1"/>
      <w:numFmt w:val="decimal"/>
      <w:lvlText w:val="%4."/>
      <w:lvlJc w:val="left"/>
      <w:pPr>
        <w:ind w:left="2487" w:hanging="480"/>
      </w:pPr>
    </w:lvl>
    <w:lvl w:ilvl="4">
      <w:start w:val="1"/>
      <w:numFmt w:val="ideographTraditional"/>
      <w:lvlText w:val="%5、"/>
      <w:lvlJc w:val="left"/>
      <w:pPr>
        <w:ind w:left="2967" w:hanging="480"/>
      </w:pPr>
    </w:lvl>
    <w:lvl w:ilvl="5">
      <w:start w:val="1"/>
      <w:numFmt w:val="lowerRoman"/>
      <w:lvlText w:val="%6."/>
      <w:lvlJc w:val="right"/>
      <w:pPr>
        <w:ind w:left="3447" w:hanging="480"/>
      </w:pPr>
    </w:lvl>
    <w:lvl w:ilvl="6">
      <w:start w:val="1"/>
      <w:numFmt w:val="decimal"/>
      <w:lvlText w:val="%7."/>
      <w:lvlJc w:val="left"/>
      <w:pPr>
        <w:ind w:left="3927" w:hanging="480"/>
      </w:pPr>
    </w:lvl>
    <w:lvl w:ilvl="7">
      <w:start w:val="1"/>
      <w:numFmt w:val="ideographTraditional"/>
      <w:lvlText w:val="%8、"/>
      <w:lvlJc w:val="left"/>
      <w:pPr>
        <w:ind w:left="4407" w:hanging="480"/>
      </w:pPr>
    </w:lvl>
    <w:lvl w:ilvl="8">
      <w:start w:val="1"/>
      <w:numFmt w:val="lowerRoman"/>
      <w:lvlText w:val="%9."/>
      <w:lvlJc w:val="right"/>
      <w:pPr>
        <w:ind w:left="4887" w:hanging="480"/>
      </w:pPr>
    </w:lvl>
  </w:abstractNum>
  <w:abstractNum w:abstractNumId="8" w15:restartNumberingAfterBreak="0">
    <w:nsid w:val="2013347C"/>
    <w:multiLevelType w:val="multilevel"/>
    <w:tmpl w:val="5B7AECF2"/>
    <w:styleLink w:val="WW8Num8"/>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9" w15:restartNumberingAfterBreak="0">
    <w:nsid w:val="237A4645"/>
    <w:multiLevelType w:val="multilevel"/>
    <w:tmpl w:val="31EC958A"/>
    <w:lvl w:ilvl="0">
      <w:start w:val="1"/>
      <w:numFmt w:val="japaneseCounting"/>
      <w:lvlText w:val="第%1條："/>
      <w:lvlJc w:val="left"/>
      <w:pPr>
        <w:ind w:left="480" w:hanging="480"/>
      </w:pPr>
      <w:rPr>
        <w:rFonts w:eastAsia="標楷體"/>
        <w:b/>
        <w:i w:val="0"/>
        <w:color w:val="000000"/>
        <w:kern w:val="0"/>
        <w:sz w:val="24"/>
      </w:rPr>
    </w:lvl>
    <w:lvl w:ilvl="1">
      <w:start w:val="1"/>
      <w:numFmt w:val="japaneseCounting"/>
      <w:lvlText w:val="%2、"/>
      <w:lvlJc w:val="left"/>
      <w:pPr>
        <w:ind w:left="960" w:hanging="480"/>
      </w:pPr>
      <w:rPr>
        <w:rFonts w:eastAsia="標楷體"/>
        <w:color w:val="000000"/>
        <w:kern w:val="0"/>
        <w:lang w:val="en-US"/>
      </w:rPr>
    </w:lvl>
    <w:lvl w:ilvl="2">
      <w:start w:val="1"/>
      <w:numFmt w:val="decimal"/>
      <w:lvlText w:val="%3."/>
      <w:lvlJc w:val="left"/>
      <w:pPr>
        <w:ind w:left="1440" w:hanging="480"/>
      </w:pPr>
      <w:rPr>
        <w:rFonts w:eastAsia="標楷體"/>
        <w:color w:val="000000"/>
        <w:kern w:val="0"/>
      </w:r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0" w15:restartNumberingAfterBreak="0">
    <w:nsid w:val="24977F26"/>
    <w:multiLevelType w:val="multilevel"/>
    <w:tmpl w:val="31EC958A"/>
    <w:lvl w:ilvl="0">
      <w:start w:val="1"/>
      <w:numFmt w:val="japaneseCounting"/>
      <w:lvlText w:val="第%1條："/>
      <w:lvlJc w:val="left"/>
      <w:pPr>
        <w:ind w:left="480" w:hanging="480"/>
      </w:pPr>
      <w:rPr>
        <w:rFonts w:eastAsia="標楷體"/>
        <w:b/>
        <w:i w:val="0"/>
        <w:color w:val="000000"/>
        <w:kern w:val="0"/>
        <w:sz w:val="24"/>
      </w:rPr>
    </w:lvl>
    <w:lvl w:ilvl="1">
      <w:start w:val="1"/>
      <w:numFmt w:val="japaneseCounting"/>
      <w:lvlText w:val="%2、"/>
      <w:lvlJc w:val="left"/>
      <w:pPr>
        <w:ind w:left="960" w:hanging="480"/>
      </w:pPr>
      <w:rPr>
        <w:rFonts w:eastAsia="標楷體"/>
        <w:color w:val="000000"/>
        <w:kern w:val="0"/>
        <w:lang w:val="en-US"/>
      </w:rPr>
    </w:lvl>
    <w:lvl w:ilvl="2">
      <w:start w:val="1"/>
      <w:numFmt w:val="decimal"/>
      <w:lvlText w:val="%3."/>
      <w:lvlJc w:val="left"/>
      <w:pPr>
        <w:ind w:left="1440" w:hanging="480"/>
      </w:pPr>
      <w:rPr>
        <w:rFonts w:eastAsia="標楷體"/>
        <w:color w:val="000000"/>
        <w:kern w:val="0"/>
      </w:r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1" w15:restartNumberingAfterBreak="0">
    <w:nsid w:val="25EF78F5"/>
    <w:multiLevelType w:val="multilevel"/>
    <w:tmpl w:val="4942C90C"/>
    <w:styleLink w:val="WW8Num39"/>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2" w15:restartNumberingAfterBreak="0">
    <w:nsid w:val="28CC5F51"/>
    <w:multiLevelType w:val="multilevel"/>
    <w:tmpl w:val="31EC958A"/>
    <w:lvl w:ilvl="0">
      <w:start w:val="1"/>
      <w:numFmt w:val="japaneseCounting"/>
      <w:lvlText w:val="第%1條："/>
      <w:lvlJc w:val="left"/>
      <w:pPr>
        <w:ind w:left="480" w:hanging="480"/>
      </w:pPr>
      <w:rPr>
        <w:rFonts w:eastAsia="標楷體"/>
        <w:b/>
        <w:i w:val="0"/>
        <w:color w:val="000000"/>
        <w:kern w:val="0"/>
        <w:sz w:val="24"/>
      </w:rPr>
    </w:lvl>
    <w:lvl w:ilvl="1">
      <w:start w:val="1"/>
      <w:numFmt w:val="japaneseCounting"/>
      <w:lvlText w:val="%2、"/>
      <w:lvlJc w:val="left"/>
      <w:pPr>
        <w:ind w:left="960" w:hanging="480"/>
      </w:pPr>
      <w:rPr>
        <w:rFonts w:eastAsia="標楷體"/>
        <w:color w:val="000000"/>
        <w:kern w:val="0"/>
        <w:lang w:val="en-US"/>
      </w:rPr>
    </w:lvl>
    <w:lvl w:ilvl="2">
      <w:start w:val="1"/>
      <w:numFmt w:val="decimal"/>
      <w:lvlText w:val="%3."/>
      <w:lvlJc w:val="left"/>
      <w:pPr>
        <w:ind w:left="1440" w:hanging="480"/>
      </w:pPr>
      <w:rPr>
        <w:rFonts w:eastAsia="標楷體"/>
        <w:color w:val="000000"/>
        <w:kern w:val="0"/>
      </w:r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3" w15:restartNumberingAfterBreak="0">
    <w:nsid w:val="291B1963"/>
    <w:multiLevelType w:val="multilevel"/>
    <w:tmpl w:val="56F45F50"/>
    <w:styleLink w:val="WW8Num3"/>
    <w:lvl w:ilvl="0">
      <w:start w:val="1"/>
      <w:numFmt w:val="japaneseCounting"/>
      <w:lvlText w:val="%1、"/>
      <w:lvlJc w:val="left"/>
      <w:pPr>
        <w:ind w:left="480" w:hanging="480"/>
      </w:pPr>
      <w:rPr>
        <w:sz w:val="24"/>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4" w15:restartNumberingAfterBreak="0">
    <w:nsid w:val="2B0476CD"/>
    <w:multiLevelType w:val="multilevel"/>
    <w:tmpl w:val="F5A2EED8"/>
    <w:styleLink w:val="WW8Num11"/>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5" w15:restartNumberingAfterBreak="0">
    <w:nsid w:val="2CEF7A3D"/>
    <w:multiLevelType w:val="multilevel"/>
    <w:tmpl w:val="31EC958A"/>
    <w:lvl w:ilvl="0">
      <w:start w:val="1"/>
      <w:numFmt w:val="japaneseCounting"/>
      <w:lvlText w:val="第%1條："/>
      <w:lvlJc w:val="left"/>
      <w:pPr>
        <w:ind w:left="480" w:hanging="480"/>
      </w:pPr>
      <w:rPr>
        <w:rFonts w:eastAsia="標楷體"/>
        <w:b/>
        <w:i w:val="0"/>
        <w:color w:val="000000"/>
        <w:kern w:val="0"/>
        <w:sz w:val="24"/>
      </w:rPr>
    </w:lvl>
    <w:lvl w:ilvl="1">
      <w:start w:val="1"/>
      <w:numFmt w:val="japaneseCounting"/>
      <w:lvlText w:val="%2、"/>
      <w:lvlJc w:val="left"/>
      <w:pPr>
        <w:ind w:left="960" w:hanging="480"/>
      </w:pPr>
      <w:rPr>
        <w:rFonts w:eastAsia="標楷體"/>
        <w:color w:val="000000"/>
        <w:kern w:val="0"/>
        <w:lang w:val="en-US"/>
      </w:rPr>
    </w:lvl>
    <w:lvl w:ilvl="2">
      <w:start w:val="1"/>
      <w:numFmt w:val="decimal"/>
      <w:lvlText w:val="%3."/>
      <w:lvlJc w:val="left"/>
      <w:pPr>
        <w:ind w:left="1440" w:hanging="480"/>
      </w:pPr>
      <w:rPr>
        <w:rFonts w:eastAsia="標楷體"/>
        <w:color w:val="000000"/>
        <w:kern w:val="0"/>
      </w:r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6" w15:restartNumberingAfterBreak="0">
    <w:nsid w:val="2DF42422"/>
    <w:multiLevelType w:val="multilevel"/>
    <w:tmpl w:val="CAC4557C"/>
    <w:styleLink w:val="WW8Num37"/>
    <w:lvl w:ilvl="0">
      <w:start w:val="1"/>
      <w:numFmt w:val="decimal"/>
      <w:lvlText w:val="%1."/>
      <w:lvlJc w:val="left"/>
      <w:pPr>
        <w:ind w:left="1048" w:hanging="480"/>
      </w:pPr>
      <w:rPr>
        <w:sz w:val="24"/>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7" w15:restartNumberingAfterBreak="0">
    <w:nsid w:val="2F686D79"/>
    <w:multiLevelType w:val="multilevel"/>
    <w:tmpl w:val="3892894A"/>
    <w:styleLink w:val="WW8Num12"/>
    <w:lvl w:ilvl="0">
      <w:start w:val="1"/>
      <w:numFmt w:val="decimal"/>
      <w:lvlText w:val="%1."/>
      <w:lvlJc w:val="left"/>
      <w:pPr>
        <w:ind w:left="480" w:hanging="480"/>
      </w:pPr>
      <w:rPr>
        <w:sz w:val="24"/>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8" w15:restartNumberingAfterBreak="0">
    <w:nsid w:val="2FC84E69"/>
    <w:multiLevelType w:val="multilevel"/>
    <w:tmpl w:val="999EB5CC"/>
    <w:styleLink w:val="WW8Num30"/>
    <w:lvl w:ilvl="0">
      <w:numFmt w:val="bullet"/>
      <w:lvlText w:val="•"/>
      <w:lvlJc w:val="left"/>
      <w:pPr>
        <w:ind w:left="720" w:hanging="360"/>
      </w:pPr>
      <w:rPr>
        <w:rFonts w:ascii="Arial" w:hAnsi="Arial" w:cs="Arial"/>
      </w:rPr>
    </w:lvl>
    <w:lvl w:ilvl="1">
      <w:numFmt w:val="bullet"/>
      <w:lvlText w:val="•"/>
      <w:lvlJc w:val="left"/>
      <w:pPr>
        <w:ind w:left="1440" w:hanging="360"/>
      </w:pPr>
      <w:rPr>
        <w:rFonts w:ascii="Arial" w:hAnsi="Arial" w:cs="Arial"/>
      </w:rPr>
    </w:lvl>
    <w:lvl w:ilvl="2">
      <w:numFmt w:val="bullet"/>
      <w:lvlText w:val="•"/>
      <w:lvlJc w:val="left"/>
      <w:pPr>
        <w:ind w:left="2160" w:hanging="360"/>
      </w:pPr>
      <w:rPr>
        <w:rFonts w:ascii="Arial" w:hAnsi="Arial" w:cs="Arial"/>
      </w:rPr>
    </w:lvl>
    <w:lvl w:ilvl="3">
      <w:numFmt w:val="bullet"/>
      <w:lvlText w:val="•"/>
      <w:lvlJc w:val="left"/>
      <w:pPr>
        <w:ind w:left="2880" w:hanging="360"/>
      </w:pPr>
      <w:rPr>
        <w:rFonts w:ascii="Arial" w:hAnsi="Arial" w:cs="Arial"/>
      </w:rPr>
    </w:lvl>
    <w:lvl w:ilvl="4">
      <w:numFmt w:val="bullet"/>
      <w:lvlText w:val="•"/>
      <w:lvlJc w:val="left"/>
      <w:pPr>
        <w:ind w:left="3600" w:hanging="360"/>
      </w:pPr>
      <w:rPr>
        <w:rFonts w:ascii="Arial" w:hAnsi="Arial" w:cs="Arial"/>
      </w:rPr>
    </w:lvl>
    <w:lvl w:ilvl="5">
      <w:numFmt w:val="bullet"/>
      <w:lvlText w:val="•"/>
      <w:lvlJc w:val="left"/>
      <w:pPr>
        <w:ind w:left="4320" w:hanging="360"/>
      </w:pPr>
      <w:rPr>
        <w:rFonts w:ascii="Arial" w:hAnsi="Arial" w:cs="Arial"/>
      </w:rPr>
    </w:lvl>
    <w:lvl w:ilvl="6">
      <w:numFmt w:val="bullet"/>
      <w:lvlText w:val="•"/>
      <w:lvlJc w:val="left"/>
      <w:pPr>
        <w:ind w:left="5040" w:hanging="360"/>
      </w:pPr>
      <w:rPr>
        <w:rFonts w:ascii="Arial" w:hAnsi="Arial" w:cs="Arial"/>
      </w:rPr>
    </w:lvl>
    <w:lvl w:ilvl="7">
      <w:numFmt w:val="bullet"/>
      <w:lvlText w:val="•"/>
      <w:lvlJc w:val="left"/>
      <w:pPr>
        <w:ind w:left="5760" w:hanging="360"/>
      </w:pPr>
      <w:rPr>
        <w:rFonts w:ascii="Arial" w:hAnsi="Arial" w:cs="Arial"/>
      </w:rPr>
    </w:lvl>
    <w:lvl w:ilvl="8">
      <w:numFmt w:val="bullet"/>
      <w:lvlText w:val="•"/>
      <w:lvlJc w:val="left"/>
      <w:pPr>
        <w:ind w:left="6480" w:hanging="360"/>
      </w:pPr>
      <w:rPr>
        <w:rFonts w:ascii="Arial" w:hAnsi="Arial" w:cs="Arial"/>
      </w:rPr>
    </w:lvl>
  </w:abstractNum>
  <w:abstractNum w:abstractNumId="19" w15:restartNumberingAfterBreak="0">
    <w:nsid w:val="2FE35526"/>
    <w:multiLevelType w:val="multilevel"/>
    <w:tmpl w:val="9B24548A"/>
    <w:styleLink w:val="WW8Num21"/>
    <w:lvl w:ilvl="0">
      <w:start w:val="1"/>
      <w:numFmt w:val="decimal"/>
      <w:lvlText w:val="%1."/>
      <w:lvlJc w:val="left"/>
      <w:pPr>
        <w:ind w:left="480" w:hanging="480"/>
      </w:pPr>
      <w:rPr>
        <w:sz w:val="20"/>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0" w15:restartNumberingAfterBreak="0">
    <w:nsid w:val="321804F0"/>
    <w:multiLevelType w:val="multilevel"/>
    <w:tmpl w:val="31EC958A"/>
    <w:lvl w:ilvl="0">
      <w:start w:val="1"/>
      <w:numFmt w:val="japaneseCounting"/>
      <w:lvlText w:val="第%1條："/>
      <w:lvlJc w:val="left"/>
      <w:pPr>
        <w:ind w:left="480" w:hanging="480"/>
      </w:pPr>
      <w:rPr>
        <w:rFonts w:eastAsia="標楷體"/>
        <w:b/>
        <w:i w:val="0"/>
        <w:color w:val="000000"/>
        <w:kern w:val="0"/>
        <w:sz w:val="24"/>
      </w:rPr>
    </w:lvl>
    <w:lvl w:ilvl="1">
      <w:start w:val="1"/>
      <w:numFmt w:val="japaneseCounting"/>
      <w:lvlText w:val="%2、"/>
      <w:lvlJc w:val="left"/>
      <w:pPr>
        <w:ind w:left="960" w:hanging="480"/>
      </w:pPr>
      <w:rPr>
        <w:rFonts w:eastAsia="標楷體"/>
        <w:color w:val="000000"/>
        <w:kern w:val="0"/>
        <w:lang w:val="en-US"/>
      </w:rPr>
    </w:lvl>
    <w:lvl w:ilvl="2">
      <w:start w:val="1"/>
      <w:numFmt w:val="decimal"/>
      <w:lvlText w:val="%3."/>
      <w:lvlJc w:val="left"/>
      <w:pPr>
        <w:ind w:left="1440" w:hanging="480"/>
      </w:pPr>
      <w:rPr>
        <w:rFonts w:eastAsia="標楷體"/>
        <w:color w:val="000000"/>
        <w:kern w:val="0"/>
      </w:r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1" w15:restartNumberingAfterBreak="0">
    <w:nsid w:val="323029FD"/>
    <w:multiLevelType w:val="multilevel"/>
    <w:tmpl w:val="31EC958A"/>
    <w:lvl w:ilvl="0">
      <w:start w:val="1"/>
      <w:numFmt w:val="japaneseCounting"/>
      <w:lvlText w:val="第%1條："/>
      <w:lvlJc w:val="left"/>
      <w:pPr>
        <w:ind w:left="480" w:hanging="480"/>
      </w:pPr>
      <w:rPr>
        <w:rFonts w:eastAsia="標楷體"/>
        <w:b/>
        <w:i w:val="0"/>
        <w:color w:val="000000"/>
        <w:kern w:val="0"/>
        <w:sz w:val="24"/>
      </w:rPr>
    </w:lvl>
    <w:lvl w:ilvl="1">
      <w:start w:val="1"/>
      <w:numFmt w:val="japaneseCounting"/>
      <w:lvlText w:val="%2、"/>
      <w:lvlJc w:val="left"/>
      <w:pPr>
        <w:ind w:left="960" w:hanging="480"/>
      </w:pPr>
      <w:rPr>
        <w:rFonts w:eastAsia="標楷體"/>
        <w:color w:val="000000"/>
        <w:kern w:val="0"/>
        <w:lang w:val="en-US"/>
      </w:rPr>
    </w:lvl>
    <w:lvl w:ilvl="2">
      <w:start w:val="1"/>
      <w:numFmt w:val="decimal"/>
      <w:lvlText w:val="%3."/>
      <w:lvlJc w:val="left"/>
      <w:pPr>
        <w:ind w:left="1440" w:hanging="480"/>
      </w:pPr>
      <w:rPr>
        <w:rFonts w:eastAsia="標楷體"/>
        <w:color w:val="000000"/>
        <w:kern w:val="0"/>
      </w:r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2" w15:restartNumberingAfterBreak="0">
    <w:nsid w:val="3490448A"/>
    <w:multiLevelType w:val="multilevel"/>
    <w:tmpl w:val="31EC958A"/>
    <w:lvl w:ilvl="0">
      <w:start w:val="1"/>
      <w:numFmt w:val="japaneseCounting"/>
      <w:lvlText w:val="第%1條："/>
      <w:lvlJc w:val="left"/>
      <w:pPr>
        <w:ind w:left="480" w:hanging="480"/>
      </w:pPr>
      <w:rPr>
        <w:rFonts w:eastAsia="標楷體"/>
        <w:b/>
        <w:i w:val="0"/>
        <w:color w:val="000000"/>
        <w:kern w:val="0"/>
        <w:sz w:val="24"/>
      </w:rPr>
    </w:lvl>
    <w:lvl w:ilvl="1">
      <w:start w:val="1"/>
      <w:numFmt w:val="japaneseCounting"/>
      <w:lvlText w:val="%2、"/>
      <w:lvlJc w:val="left"/>
      <w:pPr>
        <w:ind w:left="960" w:hanging="480"/>
      </w:pPr>
      <w:rPr>
        <w:rFonts w:eastAsia="標楷體"/>
        <w:color w:val="000000"/>
        <w:kern w:val="0"/>
        <w:lang w:val="en-US"/>
      </w:rPr>
    </w:lvl>
    <w:lvl w:ilvl="2">
      <w:start w:val="1"/>
      <w:numFmt w:val="decimal"/>
      <w:lvlText w:val="%3."/>
      <w:lvlJc w:val="left"/>
      <w:pPr>
        <w:ind w:left="1440" w:hanging="480"/>
      </w:pPr>
      <w:rPr>
        <w:rFonts w:eastAsia="標楷體"/>
        <w:color w:val="000000"/>
        <w:kern w:val="0"/>
      </w:r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3" w15:restartNumberingAfterBreak="0">
    <w:nsid w:val="372121E1"/>
    <w:multiLevelType w:val="multilevel"/>
    <w:tmpl w:val="B81A3E82"/>
    <w:styleLink w:val="WW8Num20"/>
    <w:lvl w:ilvl="0">
      <w:start w:val="1"/>
      <w:numFmt w:val="japaneseCounting"/>
      <w:lvlText w:val="%1、"/>
      <w:lvlJc w:val="left"/>
      <w:pPr>
        <w:ind w:left="960" w:hanging="480"/>
      </w:pPr>
      <w:rPr>
        <w:color w:val="000000"/>
        <w:lang w:val="en-US"/>
      </w:r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24" w15:restartNumberingAfterBreak="0">
    <w:nsid w:val="39A53106"/>
    <w:multiLevelType w:val="multilevel"/>
    <w:tmpl w:val="D2EE9D0A"/>
    <w:styleLink w:val="WW8Num13"/>
    <w:lvl w:ilvl="0">
      <w:start w:val="1"/>
      <w:numFmt w:val="decimal"/>
      <w:lvlText w:val="%1."/>
      <w:lvlJc w:val="left"/>
      <w:pPr>
        <w:ind w:left="480" w:hanging="480"/>
      </w:pPr>
      <w:rPr>
        <w:sz w:val="20"/>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5" w15:restartNumberingAfterBreak="0">
    <w:nsid w:val="3AB746B7"/>
    <w:multiLevelType w:val="multilevel"/>
    <w:tmpl w:val="31EC958A"/>
    <w:lvl w:ilvl="0">
      <w:start w:val="1"/>
      <w:numFmt w:val="japaneseCounting"/>
      <w:lvlText w:val="第%1條："/>
      <w:lvlJc w:val="left"/>
      <w:pPr>
        <w:ind w:left="480" w:hanging="480"/>
      </w:pPr>
      <w:rPr>
        <w:rFonts w:eastAsia="標楷體"/>
        <w:b/>
        <w:i w:val="0"/>
        <w:color w:val="000000"/>
        <w:kern w:val="0"/>
        <w:sz w:val="24"/>
      </w:rPr>
    </w:lvl>
    <w:lvl w:ilvl="1">
      <w:start w:val="1"/>
      <w:numFmt w:val="japaneseCounting"/>
      <w:lvlText w:val="%2、"/>
      <w:lvlJc w:val="left"/>
      <w:pPr>
        <w:ind w:left="960" w:hanging="480"/>
      </w:pPr>
      <w:rPr>
        <w:rFonts w:eastAsia="標楷體"/>
        <w:color w:val="000000"/>
        <w:kern w:val="0"/>
        <w:lang w:val="en-US"/>
      </w:rPr>
    </w:lvl>
    <w:lvl w:ilvl="2">
      <w:start w:val="1"/>
      <w:numFmt w:val="decimal"/>
      <w:lvlText w:val="%3."/>
      <w:lvlJc w:val="left"/>
      <w:pPr>
        <w:ind w:left="1440" w:hanging="480"/>
      </w:pPr>
      <w:rPr>
        <w:rFonts w:eastAsia="標楷體"/>
        <w:color w:val="000000"/>
        <w:kern w:val="0"/>
      </w:r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6" w15:restartNumberingAfterBreak="0">
    <w:nsid w:val="3DC87140"/>
    <w:multiLevelType w:val="multilevel"/>
    <w:tmpl w:val="F2C4100A"/>
    <w:styleLink w:val="WW8Num33"/>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7" w15:restartNumberingAfterBreak="0">
    <w:nsid w:val="42294F12"/>
    <w:multiLevelType w:val="multilevel"/>
    <w:tmpl w:val="4AAC36F4"/>
    <w:styleLink w:val="WW8Num5"/>
    <w:lvl w:ilvl="0">
      <w:start w:val="1"/>
      <w:numFmt w:val="decimal"/>
      <w:lvlText w:val="%1."/>
      <w:lvlJc w:val="left"/>
      <w:pPr>
        <w:ind w:left="480" w:hanging="480"/>
      </w:pPr>
      <w:rPr>
        <w:sz w:val="20"/>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8" w15:restartNumberingAfterBreak="0">
    <w:nsid w:val="428B04F3"/>
    <w:multiLevelType w:val="multilevel"/>
    <w:tmpl w:val="0C1A98C8"/>
    <w:styleLink w:val="WW8Num9"/>
    <w:lvl w:ilvl="0">
      <w:start w:val="1"/>
      <w:numFmt w:val="decimal"/>
      <w:lvlText w:val="%1."/>
      <w:lvlJc w:val="left"/>
      <w:pPr>
        <w:ind w:left="480" w:hanging="480"/>
      </w:pPr>
      <w:rPr>
        <w:sz w:val="20"/>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9" w15:restartNumberingAfterBreak="0">
    <w:nsid w:val="42A03F56"/>
    <w:multiLevelType w:val="multilevel"/>
    <w:tmpl w:val="31EC958A"/>
    <w:styleLink w:val="WW8Num7"/>
    <w:lvl w:ilvl="0">
      <w:start w:val="1"/>
      <w:numFmt w:val="japaneseCounting"/>
      <w:lvlText w:val="第%1條："/>
      <w:lvlJc w:val="left"/>
      <w:pPr>
        <w:ind w:left="480" w:hanging="480"/>
      </w:pPr>
      <w:rPr>
        <w:rFonts w:eastAsia="標楷體"/>
        <w:b/>
        <w:i w:val="0"/>
        <w:color w:val="000000"/>
        <w:kern w:val="0"/>
        <w:sz w:val="24"/>
      </w:rPr>
    </w:lvl>
    <w:lvl w:ilvl="1">
      <w:start w:val="1"/>
      <w:numFmt w:val="japaneseCounting"/>
      <w:lvlText w:val="%2、"/>
      <w:lvlJc w:val="left"/>
      <w:pPr>
        <w:ind w:left="960" w:hanging="480"/>
      </w:pPr>
      <w:rPr>
        <w:rFonts w:eastAsia="標楷體"/>
        <w:color w:val="000000"/>
        <w:kern w:val="0"/>
        <w:lang w:val="en-US"/>
      </w:rPr>
    </w:lvl>
    <w:lvl w:ilvl="2">
      <w:start w:val="1"/>
      <w:numFmt w:val="decimal"/>
      <w:lvlText w:val="%3."/>
      <w:lvlJc w:val="left"/>
      <w:pPr>
        <w:ind w:left="1440" w:hanging="480"/>
      </w:pPr>
      <w:rPr>
        <w:rFonts w:eastAsia="標楷體"/>
        <w:color w:val="000000"/>
        <w:kern w:val="0"/>
      </w:r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0" w15:restartNumberingAfterBreak="0">
    <w:nsid w:val="456A459B"/>
    <w:multiLevelType w:val="multilevel"/>
    <w:tmpl w:val="2BE685DC"/>
    <w:styleLink w:val="WW8Num27"/>
    <w:lvl w:ilvl="0">
      <w:start w:val="1"/>
      <w:numFmt w:val="decimal"/>
      <w:lvlText w:val="%1."/>
      <w:lvlJc w:val="left"/>
      <w:pPr>
        <w:ind w:left="480" w:hanging="480"/>
      </w:pPr>
      <w:rPr>
        <w:sz w:val="24"/>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1" w15:restartNumberingAfterBreak="0">
    <w:nsid w:val="469F0556"/>
    <w:multiLevelType w:val="multilevel"/>
    <w:tmpl w:val="E90E7788"/>
    <w:styleLink w:val="WW8Num40"/>
    <w:lvl w:ilvl="0">
      <w:start w:val="1"/>
      <w:numFmt w:val="decimal"/>
      <w:lvlText w:val="%1."/>
      <w:lvlJc w:val="left"/>
      <w:pPr>
        <w:ind w:left="905" w:hanging="480"/>
      </w:pPr>
      <w:rPr>
        <w:sz w:val="24"/>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2" w15:restartNumberingAfterBreak="0">
    <w:nsid w:val="480F245E"/>
    <w:multiLevelType w:val="multilevel"/>
    <w:tmpl w:val="31EC958A"/>
    <w:lvl w:ilvl="0">
      <w:start w:val="1"/>
      <w:numFmt w:val="japaneseCounting"/>
      <w:lvlText w:val="第%1條："/>
      <w:lvlJc w:val="left"/>
      <w:pPr>
        <w:ind w:left="480" w:hanging="480"/>
      </w:pPr>
      <w:rPr>
        <w:rFonts w:eastAsia="標楷體"/>
        <w:b/>
        <w:i w:val="0"/>
        <w:color w:val="000000"/>
        <w:kern w:val="0"/>
        <w:sz w:val="24"/>
      </w:rPr>
    </w:lvl>
    <w:lvl w:ilvl="1">
      <w:start w:val="1"/>
      <w:numFmt w:val="japaneseCounting"/>
      <w:lvlText w:val="%2、"/>
      <w:lvlJc w:val="left"/>
      <w:pPr>
        <w:ind w:left="960" w:hanging="480"/>
      </w:pPr>
      <w:rPr>
        <w:rFonts w:eastAsia="標楷體"/>
        <w:color w:val="000000"/>
        <w:kern w:val="0"/>
        <w:lang w:val="en-US"/>
      </w:rPr>
    </w:lvl>
    <w:lvl w:ilvl="2">
      <w:start w:val="1"/>
      <w:numFmt w:val="decimal"/>
      <w:lvlText w:val="%3."/>
      <w:lvlJc w:val="left"/>
      <w:pPr>
        <w:ind w:left="1440" w:hanging="480"/>
      </w:pPr>
      <w:rPr>
        <w:rFonts w:eastAsia="標楷體"/>
        <w:color w:val="000000"/>
        <w:kern w:val="0"/>
      </w:r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3" w15:restartNumberingAfterBreak="0">
    <w:nsid w:val="49272645"/>
    <w:multiLevelType w:val="multilevel"/>
    <w:tmpl w:val="AEA69DB6"/>
    <w:styleLink w:val="WW8Num15"/>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4" w15:restartNumberingAfterBreak="0">
    <w:nsid w:val="4AA9724A"/>
    <w:multiLevelType w:val="multilevel"/>
    <w:tmpl w:val="7F80EF64"/>
    <w:styleLink w:val="WW8Num36"/>
    <w:lvl w:ilvl="0">
      <w:start w:val="1"/>
      <w:numFmt w:val="decimal"/>
      <w:lvlText w:val="%1."/>
      <w:lvlJc w:val="left"/>
      <w:pPr>
        <w:ind w:left="840" w:hanging="36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35" w15:restartNumberingAfterBreak="0">
    <w:nsid w:val="4CB90FAE"/>
    <w:multiLevelType w:val="multilevel"/>
    <w:tmpl w:val="86643158"/>
    <w:styleLink w:val="WW8Num6"/>
    <w:lvl w:ilvl="0">
      <w:start w:val="1"/>
      <w:numFmt w:val="decimal"/>
      <w:lvlText w:val="(%1)"/>
      <w:lvlJc w:val="left"/>
      <w:pPr>
        <w:ind w:left="1330" w:hanging="480"/>
      </w:pPr>
    </w:lvl>
    <w:lvl w:ilvl="1">
      <w:start w:val="1"/>
      <w:numFmt w:val="ideographTraditional"/>
      <w:lvlText w:val="%2、"/>
      <w:lvlJc w:val="left"/>
      <w:pPr>
        <w:ind w:left="1810" w:hanging="480"/>
      </w:pPr>
    </w:lvl>
    <w:lvl w:ilvl="2">
      <w:start w:val="1"/>
      <w:numFmt w:val="lowerRoman"/>
      <w:lvlText w:val="%3."/>
      <w:lvlJc w:val="right"/>
      <w:pPr>
        <w:ind w:left="2290" w:hanging="480"/>
      </w:pPr>
    </w:lvl>
    <w:lvl w:ilvl="3">
      <w:start w:val="1"/>
      <w:numFmt w:val="decimal"/>
      <w:lvlText w:val="%4."/>
      <w:lvlJc w:val="left"/>
      <w:pPr>
        <w:ind w:left="2770" w:hanging="480"/>
      </w:pPr>
    </w:lvl>
    <w:lvl w:ilvl="4">
      <w:start w:val="1"/>
      <w:numFmt w:val="ideographTraditional"/>
      <w:lvlText w:val="%5、"/>
      <w:lvlJc w:val="left"/>
      <w:pPr>
        <w:ind w:left="3250" w:hanging="480"/>
      </w:pPr>
    </w:lvl>
    <w:lvl w:ilvl="5">
      <w:start w:val="1"/>
      <w:numFmt w:val="lowerRoman"/>
      <w:lvlText w:val="%6."/>
      <w:lvlJc w:val="right"/>
      <w:pPr>
        <w:ind w:left="3730" w:hanging="480"/>
      </w:pPr>
    </w:lvl>
    <w:lvl w:ilvl="6">
      <w:start w:val="1"/>
      <w:numFmt w:val="decimal"/>
      <w:lvlText w:val="%7."/>
      <w:lvlJc w:val="left"/>
      <w:pPr>
        <w:ind w:left="4210" w:hanging="480"/>
      </w:pPr>
    </w:lvl>
    <w:lvl w:ilvl="7">
      <w:start w:val="1"/>
      <w:numFmt w:val="ideographTraditional"/>
      <w:lvlText w:val="%8、"/>
      <w:lvlJc w:val="left"/>
      <w:pPr>
        <w:ind w:left="4690" w:hanging="480"/>
      </w:pPr>
    </w:lvl>
    <w:lvl w:ilvl="8">
      <w:start w:val="1"/>
      <w:numFmt w:val="lowerRoman"/>
      <w:lvlText w:val="%9."/>
      <w:lvlJc w:val="right"/>
      <w:pPr>
        <w:ind w:left="5170" w:hanging="480"/>
      </w:pPr>
    </w:lvl>
  </w:abstractNum>
  <w:abstractNum w:abstractNumId="36" w15:restartNumberingAfterBreak="0">
    <w:nsid w:val="52803E88"/>
    <w:multiLevelType w:val="multilevel"/>
    <w:tmpl w:val="3E22ED52"/>
    <w:styleLink w:val="WW8Num34"/>
    <w:lvl w:ilvl="0">
      <w:start w:val="1"/>
      <w:numFmt w:val="decimal"/>
      <w:lvlText w:val="%1."/>
      <w:lvlJc w:val="left"/>
      <w:pPr>
        <w:ind w:left="480" w:hanging="480"/>
      </w:pPr>
      <w:rPr>
        <w:sz w:val="20"/>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7" w15:restartNumberingAfterBreak="0">
    <w:nsid w:val="554454E2"/>
    <w:multiLevelType w:val="multilevel"/>
    <w:tmpl w:val="34B2EEFE"/>
    <w:styleLink w:val="WW8Num22"/>
    <w:lvl w:ilvl="0">
      <w:start w:val="1"/>
      <w:numFmt w:val="decimal"/>
      <w:lvlText w:val="%1."/>
      <w:lvlJc w:val="left"/>
      <w:pPr>
        <w:ind w:left="480" w:hanging="480"/>
      </w:pPr>
      <w:rPr>
        <w:sz w:val="24"/>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8" w15:restartNumberingAfterBreak="0">
    <w:nsid w:val="57AB05FE"/>
    <w:multiLevelType w:val="multilevel"/>
    <w:tmpl w:val="31EC958A"/>
    <w:lvl w:ilvl="0">
      <w:start w:val="1"/>
      <w:numFmt w:val="japaneseCounting"/>
      <w:lvlText w:val="第%1條："/>
      <w:lvlJc w:val="left"/>
      <w:pPr>
        <w:ind w:left="480" w:hanging="480"/>
      </w:pPr>
      <w:rPr>
        <w:rFonts w:eastAsia="標楷體"/>
        <w:b/>
        <w:i w:val="0"/>
        <w:color w:val="000000"/>
        <w:kern w:val="0"/>
        <w:sz w:val="24"/>
      </w:rPr>
    </w:lvl>
    <w:lvl w:ilvl="1">
      <w:start w:val="1"/>
      <w:numFmt w:val="japaneseCounting"/>
      <w:lvlText w:val="%2、"/>
      <w:lvlJc w:val="left"/>
      <w:pPr>
        <w:ind w:left="960" w:hanging="480"/>
      </w:pPr>
      <w:rPr>
        <w:rFonts w:eastAsia="標楷體"/>
        <w:color w:val="000000"/>
        <w:kern w:val="0"/>
        <w:lang w:val="en-US"/>
      </w:rPr>
    </w:lvl>
    <w:lvl w:ilvl="2">
      <w:start w:val="1"/>
      <w:numFmt w:val="decimal"/>
      <w:lvlText w:val="%3."/>
      <w:lvlJc w:val="left"/>
      <w:pPr>
        <w:ind w:left="1440" w:hanging="480"/>
      </w:pPr>
      <w:rPr>
        <w:rFonts w:eastAsia="標楷體"/>
        <w:color w:val="000000"/>
        <w:kern w:val="0"/>
      </w:r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9" w15:restartNumberingAfterBreak="0">
    <w:nsid w:val="5BD24B52"/>
    <w:multiLevelType w:val="multilevel"/>
    <w:tmpl w:val="B432522C"/>
    <w:styleLink w:val="WW8Num1"/>
    <w:lvl w:ilvl="0">
      <w:start w:val="1"/>
      <w:numFmt w:val="japaneseCounting"/>
      <w:lvlText w:val="%1、"/>
      <w:lvlJc w:val="left"/>
      <w:pPr>
        <w:ind w:left="510" w:hanging="51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0" w15:restartNumberingAfterBreak="0">
    <w:nsid w:val="5C6C71C8"/>
    <w:multiLevelType w:val="multilevel"/>
    <w:tmpl w:val="8D600D00"/>
    <w:styleLink w:val="WW8Num42"/>
    <w:lvl w:ilvl="0">
      <w:start w:val="1"/>
      <w:numFmt w:val="decimal"/>
      <w:lvlText w:val="(%1)"/>
      <w:lvlJc w:val="left"/>
      <w:pPr>
        <w:ind w:left="1331" w:hanging="480"/>
      </w:pPr>
    </w:lvl>
    <w:lvl w:ilvl="1">
      <w:start w:val="1"/>
      <w:numFmt w:val="ideographTraditional"/>
      <w:lvlText w:val="%2、"/>
      <w:lvlJc w:val="left"/>
      <w:pPr>
        <w:ind w:left="1811" w:hanging="480"/>
      </w:pPr>
    </w:lvl>
    <w:lvl w:ilvl="2">
      <w:start w:val="1"/>
      <w:numFmt w:val="lowerRoman"/>
      <w:lvlText w:val="%3."/>
      <w:lvlJc w:val="right"/>
      <w:pPr>
        <w:ind w:left="2291" w:hanging="480"/>
      </w:pPr>
    </w:lvl>
    <w:lvl w:ilvl="3">
      <w:start w:val="1"/>
      <w:numFmt w:val="decimal"/>
      <w:lvlText w:val="%4."/>
      <w:lvlJc w:val="left"/>
      <w:pPr>
        <w:ind w:left="2771" w:hanging="480"/>
      </w:pPr>
    </w:lvl>
    <w:lvl w:ilvl="4">
      <w:start w:val="1"/>
      <w:numFmt w:val="ideographTraditional"/>
      <w:lvlText w:val="%5、"/>
      <w:lvlJc w:val="left"/>
      <w:pPr>
        <w:ind w:left="3251" w:hanging="480"/>
      </w:pPr>
    </w:lvl>
    <w:lvl w:ilvl="5">
      <w:start w:val="1"/>
      <w:numFmt w:val="lowerRoman"/>
      <w:lvlText w:val="%6."/>
      <w:lvlJc w:val="right"/>
      <w:pPr>
        <w:ind w:left="3731" w:hanging="480"/>
      </w:pPr>
    </w:lvl>
    <w:lvl w:ilvl="6">
      <w:start w:val="1"/>
      <w:numFmt w:val="decimal"/>
      <w:lvlText w:val="%7."/>
      <w:lvlJc w:val="left"/>
      <w:pPr>
        <w:ind w:left="4211" w:hanging="480"/>
      </w:pPr>
    </w:lvl>
    <w:lvl w:ilvl="7">
      <w:start w:val="1"/>
      <w:numFmt w:val="ideographTraditional"/>
      <w:lvlText w:val="%8、"/>
      <w:lvlJc w:val="left"/>
      <w:pPr>
        <w:ind w:left="4691" w:hanging="480"/>
      </w:pPr>
    </w:lvl>
    <w:lvl w:ilvl="8">
      <w:start w:val="1"/>
      <w:numFmt w:val="lowerRoman"/>
      <w:lvlText w:val="%9."/>
      <w:lvlJc w:val="right"/>
      <w:pPr>
        <w:ind w:left="5171" w:hanging="480"/>
      </w:pPr>
    </w:lvl>
  </w:abstractNum>
  <w:abstractNum w:abstractNumId="41" w15:restartNumberingAfterBreak="0">
    <w:nsid w:val="5C7C591B"/>
    <w:multiLevelType w:val="multilevel"/>
    <w:tmpl w:val="645EF2A0"/>
    <w:styleLink w:val="WW8Num26"/>
    <w:lvl w:ilvl="0">
      <w:start w:val="1"/>
      <w:numFmt w:val="decimal"/>
      <w:lvlText w:val="%1."/>
      <w:lvlJc w:val="left"/>
      <w:pPr>
        <w:ind w:left="480" w:hanging="480"/>
      </w:pPr>
      <w:rPr>
        <w:sz w:val="20"/>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2" w15:restartNumberingAfterBreak="0">
    <w:nsid w:val="60637F30"/>
    <w:multiLevelType w:val="multilevel"/>
    <w:tmpl w:val="3E4A1C2E"/>
    <w:styleLink w:val="WW8Num10"/>
    <w:lvl w:ilvl="0">
      <w:start w:val="1"/>
      <w:numFmt w:val="decimal"/>
      <w:lvlText w:val="%1."/>
      <w:lvlJc w:val="left"/>
      <w:pPr>
        <w:ind w:left="480" w:hanging="480"/>
      </w:pPr>
      <w:rPr>
        <w:sz w:val="24"/>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3" w15:restartNumberingAfterBreak="0">
    <w:nsid w:val="61636D28"/>
    <w:multiLevelType w:val="multilevel"/>
    <w:tmpl w:val="F06C1160"/>
    <w:styleLink w:val="WW8Num18"/>
    <w:lvl w:ilvl="0">
      <w:start w:val="1"/>
      <w:numFmt w:val="decimal"/>
      <w:lvlText w:val="%1."/>
      <w:lvlJc w:val="left"/>
      <w:pPr>
        <w:ind w:left="480" w:hanging="480"/>
      </w:pPr>
      <w:rPr>
        <w:sz w:val="24"/>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4" w15:restartNumberingAfterBreak="0">
    <w:nsid w:val="644C14D3"/>
    <w:multiLevelType w:val="multilevel"/>
    <w:tmpl w:val="31EC958A"/>
    <w:lvl w:ilvl="0">
      <w:start w:val="1"/>
      <w:numFmt w:val="japaneseCounting"/>
      <w:lvlText w:val="第%1條："/>
      <w:lvlJc w:val="left"/>
      <w:pPr>
        <w:ind w:left="480" w:hanging="480"/>
      </w:pPr>
      <w:rPr>
        <w:rFonts w:eastAsia="標楷體"/>
        <w:b/>
        <w:i w:val="0"/>
        <w:color w:val="000000"/>
        <w:kern w:val="0"/>
        <w:sz w:val="24"/>
      </w:rPr>
    </w:lvl>
    <w:lvl w:ilvl="1">
      <w:start w:val="1"/>
      <w:numFmt w:val="japaneseCounting"/>
      <w:lvlText w:val="%2、"/>
      <w:lvlJc w:val="left"/>
      <w:pPr>
        <w:ind w:left="960" w:hanging="480"/>
      </w:pPr>
      <w:rPr>
        <w:rFonts w:eastAsia="標楷體"/>
        <w:color w:val="000000"/>
        <w:kern w:val="0"/>
        <w:lang w:val="en-US"/>
      </w:rPr>
    </w:lvl>
    <w:lvl w:ilvl="2">
      <w:start w:val="1"/>
      <w:numFmt w:val="decimal"/>
      <w:lvlText w:val="%3."/>
      <w:lvlJc w:val="left"/>
      <w:pPr>
        <w:ind w:left="1440" w:hanging="480"/>
      </w:pPr>
      <w:rPr>
        <w:rFonts w:eastAsia="標楷體"/>
        <w:color w:val="000000"/>
        <w:kern w:val="0"/>
      </w:r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5" w15:restartNumberingAfterBreak="0">
    <w:nsid w:val="64543E8A"/>
    <w:multiLevelType w:val="multilevel"/>
    <w:tmpl w:val="31EC958A"/>
    <w:lvl w:ilvl="0">
      <w:start w:val="1"/>
      <w:numFmt w:val="japaneseCounting"/>
      <w:lvlText w:val="第%1條："/>
      <w:lvlJc w:val="left"/>
      <w:pPr>
        <w:ind w:left="480" w:hanging="480"/>
      </w:pPr>
      <w:rPr>
        <w:rFonts w:eastAsia="標楷體"/>
        <w:b/>
        <w:i w:val="0"/>
        <w:color w:val="000000"/>
        <w:kern w:val="0"/>
        <w:sz w:val="24"/>
      </w:rPr>
    </w:lvl>
    <w:lvl w:ilvl="1">
      <w:start w:val="1"/>
      <w:numFmt w:val="japaneseCounting"/>
      <w:lvlText w:val="%2、"/>
      <w:lvlJc w:val="left"/>
      <w:pPr>
        <w:ind w:left="960" w:hanging="480"/>
      </w:pPr>
      <w:rPr>
        <w:rFonts w:eastAsia="標楷體"/>
        <w:color w:val="000000"/>
        <w:kern w:val="0"/>
        <w:lang w:val="en-US"/>
      </w:rPr>
    </w:lvl>
    <w:lvl w:ilvl="2">
      <w:start w:val="1"/>
      <w:numFmt w:val="decimal"/>
      <w:lvlText w:val="%3."/>
      <w:lvlJc w:val="left"/>
      <w:pPr>
        <w:ind w:left="1440" w:hanging="480"/>
      </w:pPr>
      <w:rPr>
        <w:rFonts w:eastAsia="標楷體"/>
        <w:color w:val="000000"/>
        <w:kern w:val="0"/>
      </w:r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6" w15:restartNumberingAfterBreak="0">
    <w:nsid w:val="653B522B"/>
    <w:multiLevelType w:val="multilevel"/>
    <w:tmpl w:val="31EC958A"/>
    <w:lvl w:ilvl="0">
      <w:start w:val="1"/>
      <w:numFmt w:val="japaneseCounting"/>
      <w:lvlText w:val="第%1條："/>
      <w:lvlJc w:val="left"/>
      <w:pPr>
        <w:ind w:left="480" w:hanging="480"/>
      </w:pPr>
      <w:rPr>
        <w:rFonts w:eastAsia="標楷體"/>
        <w:b/>
        <w:i w:val="0"/>
        <w:color w:val="000000"/>
        <w:kern w:val="0"/>
        <w:sz w:val="24"/>
      </w:rPr>
    </w:lvl>
    <w:lvl w:ilvl="1">
      <w:start w:val="1"/>
      <w:numFmt w:val="japaneseCounting"/>
      <w:lvlText w:val="%2、"/>
      <w:lvlJc w:val="left"/>
      <w:pPr>
        <w:ind w:left="960" w:hanging="480"/>
      </w:pPr>
      <w:rPr>
        <w:rFonts w:eastAsia="標楷體"/>
        <w:color w:val="000000"/>
        <w:kern w:val="0"/>
        <w:lang w:val="en-US"/>
      </w:rPr>
    </w:lvl>
    <w:lvl w:ilvl="2">
      <w:start w:val="1"/>
      <w:numFmt w:val="decimal"/>
      <w:lvlText w:val="%3."/>
      <w:lvlJc w:val="left"/>
      <w:pPr>
        <w:ind w:left="1440" w:hanging="480"/>
      </w:pPr>
      <w:rPr>
        <w:rFonts w:eastAsia="標楷體"/>
        <w:color w:val="000000"/>
        <w:kern w:val="0"/>
      </w:r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7" w15:restartNumberingAfterBreak="0">
    <w:nsid w:val="68B41BE9"/>
    <w:multiLevelType w:val="multilevel"/>
    <w:tmpl w:val="DAD6DBEE"/>
    <w:styleLink w:val="WW8Num25"/>
    <w:lvl w:ilvl="0">
      <w:start w:val="1"/>
      <w:numFmt w:val="decimal"/>
      <w:lvlText w:val="%1."/>
      <w:lvlJc w:val="left"/>
      <w:pPr>
        <w:ind w:left="1440" w:hanging="480"/>
      </w:pPr>
    </w:lvl>
    <w:lvl w:ilvl="1">
      <w:start w:val="1"/>
      <w:numFmt w:val="ideographTraditional"/>
      <w:lvlText w:val="%2、"/>
      <w:lvlJc w:val="left"/>
      <w:pPr>
        <w:ind w:left="1920" w:hanging="480"/>
      </w:pPr>
    </w:lvl>
    <w:lvl w:ilvl="2">
      <w:start w:val="1"/>
      <w:numFmt w:val="lowerRoman"/>
      <w:lvlText w:val="%3."/>
      <w:lvlJc w:val="right"/>
      <w:pPr>
        <w:ind w:left="2400" w:hanging="480"/>
      </w:pPr>
    </w:lvl>
    <w:lvl w:ilvl="3">
      <w:start w:val="1"/>
      <w:numFmt w:val="decimal"/>
      <w:lvlText w:val="%4."/>
      <w:lvlJc w:val="left"/>
      <w:pPr>
        <w:ind w:left="2880" w:hanging="480"/>
      </w:pPr>
    </w:lvl>
    <w:lvl w:ilvl="4">
      <w:start w:val="1"/>
      <w:numFmt w:val="ideographTraditional"/>
      <w:lvlText w:val="%5、"/>
      <w:lvlJc w:val="left"/>
      <w:pPr>
        <w:ind w:left="3360" w:hanging="480"/>
      </w:pPr>
    </w:lvl>
    <w:lvl w:ilvl="5">
      <w:start w:val="1"/>
      <w:numFmt w:val="lowerRoman"/>
      <w:lvlText w:val="%6."/>
      <w:lvlJc w:val="right"/>
      <w:pPr>
        <w:ind w:left="3840" w:hanging="480"/>
      </w:pPr>
    </w:lvl>
    <w:lvl w:ilvl="6">
      <w:start w:val="1"/>
      <w:numFmt w:val="decimal"/>
      <w:lvlText w:val="%7."/>
      <w:lvlJc w:val="left"/>
      <w:pPr>
        <w:ind w:left="4320" w:hanging="480"/>
      </w:pPr>
    </w:lvl>
    <w:lvl w:ilvl="7">
      <w:start w:val="1"/>
      <w:numFmt w:val="ideographTraditional"/>
      <w:lvlText w:val="%8、"/>
      <w:lvlJc w:val="left"/>
      <w:pPr>
        <w:ind w:left="4800" w:hanging="480"/>
      </w:pPr>
    </w:lvl>
    <w:lvl w:ilvl="8">
      <w:start w:val="1"/>
      <w:numFmt w:val="lowerRoman"/>
      <w:lvlText w:val="%9."/>
      <w:lvlJc w:val="right"/>
      <w:pPr>
        <w:ind w:left="5280" w:hanging="480"/>
      </w:pPr>
    </w:lvl>
  </w:abstractNum>
  <w:abstractNum w:abstractNumId="48" w15:restartNumberingAfterBreak="0">
    <w:nsid w:val="6AE64985"/>
    <w:multiLevelType w:val="multilevel"/>
    <w:tmpl w:val="83A83A92"/>
    <w:styleLink w:val="WW8Num19"/>
    <w:lvl w:ilvl="0">
      <w:start w:val="1"/>
      <w:numFmt w:val="decimal"/>
      <w:lvlText w:val="%1."/>
      <w:lvlJc w:val="left"/>
      <w:pPr>
        <w:ind w:left="960" w:hanging="48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49" w15:restartNumberingAfterBreak="0">
    <w:nsid w:val="6B9F0CBE"/>
    <w:multiLevelType w:val="multilevel"/>
    <w:tmpl w:val="F0D47440"/>
    <w:styleLink w:val="WW8Num28"/>
    <w:lvl w:ilvl="0">
      <w:start w:val="1"/>
      <w:numFmt w:val="decimal"/>
      <w:lvlText w:val="%1."/>
      <w:lvlJc w:val="left"/>
      <w:pPr>
        <w:ind w:left="1048" w:hanging="480"/>
      </w:pPr>
      <w:rPr>
        <w:sz w:val="24"/>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0" w15:restartNumberingAfterBreak="0">
    <w:nsid w:val="6D095268"/>
    <w:multiLevelType w:val="multilevel"/>
    <w:tmpl w:val="4BD24B1E"/>
    <w:styleLink w:val="WW8Num2"/>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1" w15:restartNumberingAfterBreak="0">
    <w:nsid w:val="6D4948D1"/>
    <w:multiLevelType w:val="multilevel"/>
    <w:tmpl w:val="761EFD90"/>
    <w:styleLink w:val="WW8Num38"/>
    <w:lvl w:ilvl="0">
      <w:start w:val="1"/>
      <w:numFmt w:val="decimal"/>
      <w:lvlText w:val="%1."/>
      <w:lvlJc w:val="left"/>
      <w:pPr>
        <w:ind w:left="480" w:hanging="480"/>
      </w:pPr>
      <w:rPr>
        <w:sz w:val="24"/>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2" w15:restartNumberingAfterBreak="0">
    <w:nsid w:val="70176C4A"/>
    <w:multiLevelType w:val="multilevel"/>
    <w:tmpl w:val="620608AE"/>
    <w:styleLink w:val="WW8Num32"/>
    <w:lvl w:ilvl="0">
      <w:start w:val="1"/>
      <w:numFmt w:val="decimal"/>
      <w:lvlText w:val="%1."/>
      <w:lvlJc w:val="left"/>
      <w:pPr>
        <w:ind w:left="960" w:hanging="480"/>
      </w:pPr>
      <w:rPr>
        <w:sz w:val="24"/>
      </w:r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53" w15:restartNumberingAfterBreak="0">
    <w:nsid w:val="709965DB"/>
    <w:multiLevelType w:val="multilevel"/>
    <w:tmpl w:val="31EC958A"/>
    <w:lvl w:ilvl="0">
      <w:start w:val="1"/>
      <w:numFmt w:val="japaneseCounting"/>
      <w:lvlText w:val="第%1條："/>
      <w:lvlJc w:val="left"/>
      <w:pPr>
        <w:ind w:left="480" w:hanging="480"/>
      </w:pPr>
      <w:rPr>
        <w:rFonts w:eastAsia="標楷體"/>
        <w:b/>
        <w:i w:val="0"/>
        <w:color w:val="000000"/>
        <w:kern w:val="0"/>
        <w:sz w:val="24"/>
      </w:rPr>
    </w:lvl>
    <w:lvl w:ilvl="1">
      <w:start w:val="1"/>
      <w:numFmt w:val="japaneseCounting"/>
      <w:lvlText w:val="%2、"/>
      <w:lvlJc w:val="left"/>
      <w:pPr>
        <w:ind w:left="960" w:hanging="480"/>
      </w:pPr>
      <w:rPr>
        <w:rFonts w:eastAsia="標楷體"/>
        <w:color w:val="000000"/>
        <w:kern w:val="0"/>
        <w:lang w:val="en-US"/>
      </w:rPr>
    </w:lvl>
    <w:lvl w:ilvl="2">
      <w:start w:val="1"/>
      <w:numFmt w:val="decimal"/>
      <w:lvlText w:val="%3."/>
      <w:lvlJc w:val="left"/>
      <w:pPr>
        <w:ind w:left="1440" w:hanging="480"/>
      </w:pPr>
      <w:rPr>
        <w:rFonts w:eastAsia="標楷體"/>
        <w:color w:val="000000"/>
        <w:kern w:val="0"/>
      </w:r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4" w15:restartNumberingAfterBreak="0">
    <w:nsid w:val="72381FE3"/>
    <w:multiLevelType w:val="multilevel"/>
    <w:tmpl w:val="FCE44AAA"/>
    <w:styleLink w:val="WW8Num17"/>
    <w:lvl w:ilvl="0">
      <w:start w:val="1"/>
      <w:numFmt w:val="japaneseCounting"/>
      <w:lvlText w:val="(%1)"/>
      <w:lvlJc w:val="left"/>
      <w:pPr>
        <w:ind w:left="1331" w:hanging="480"/>
      </w:pPr>
    </w:lvl>
    <w:lvl w:ilvl="1">
      <w:start w:val="1"/>
      <w:numFmt w:val="ideographTraditional"/>
      <w:lvlText w:val="%2、"/>
      <w:lvlJc w:val="left"/>
      <w:pPr>
        <w:ind w:left="1811" w:hanging="480"/>
      </w:pPr>
    </w:lvl>
    <w:lvl w:ilvl="2">
      <w:start w:val="1"/>
      <w:numFmt w:val="lowerRoman"/>
      <w:lvlText w:val="%3."/>
      <w:lvlJc w:val="right"/>
      <w:pPr>
        <w:ind w:left="2291" w:hanging="480"/>
      </w:pPr>
    </w:lvl>
    <w:lvl w:ilvl="3">
      <w:start w:val="1"/>
      <w:numFmt w:val="decimal"/>
      <w:lvlText w:val="%4."/>
      <w:lvlJc w:val="left"/>
      <w:pPr>
        <w:ind w:left="2771" w:hanging="480"/>
      </w:pPr>
    </w:lvl>
    <w:lvl w:ilvl="4">
      <w:start w:val="1"/>
      <w:numFmt w:val="ideographTraditional"/>
      <w:lvlText w:val="%5、"/>
      <w:lvlJc w:val="left"/>
      <w:pPr>
        <w:ind w:left="3251" w:hanging="480"/>
      </w:pPr>
    </w:lvl>
    <w:lvl w:ilvl="5">
      <w:start w:val="1"/>
      <w:numFmt w:val="lowerRoman"/>
      <w:lvlText w:val="%6."/>
      <w:lvlJc w:val="right"/>
      <w:pPr>
        <w:ind w:left="3731" w:hanging="480"/>
      </w:pPr>
    </w:lvl>
    <w:lvl w:ilvl="6">
      <w:start w:val="1"/>
      <w:numFmt w:val="decimal"/>
      <w:lvlText w:val="%7."/>
      <w:lvlJc w:val="left"/>
      <w:pPr>
        <w:ind w:left="4211" w:hanging="480"/>
      </w:pPr>
    </w:lvl>
    <w:lvl w:ilvl="7">
      <w:start w:val="1"/>
      <w:numFmt w:val="ideographTraditional"/>
      <w:lvlText w:val="%8、"/>
      <w:lvlJc w:val="left"/>
      <w:pPr>
        <w:ind w:left="4691" w:hanging="480"/>
      </w:pPr>
    </w:lvl>
    <w:lvl w:ilvl="8">
      <w:start w:val="1"/>
      <w:numFmt w:val="lowerRoman"/>
      <w:lvlText w:val="%9."/>
      <w:lvlJc w:val="right"/>
      <w:pPr>
        <w:ind w:left="5171" w:hanging="480"/>
      </w:pPr>
    </w:lvl>
  </w:abstractNum>
  <w:abstractNum w:abstractNumId="55" w15:restartNumberingAfterBreak="0">
    <w:nsid w:val="76532831"/>
    <w:multiLevelType w:val="multilevel"/>
    <w:tmpl w:val="0E5079E0"/>
    <w:styleLink w:val="WW8Num44"/>
    <w:lvl w:ilvl="0">
      <w:start w:val="1"/>
      <w:numFmt w:val="japaneseCounting"/>
      <w:lvlText w:val="%1、"/>
      <w:lvlJc w:val="left"/>
      <w:pPr>
        <w:ind w:left="2891"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6" w15:restartNumberingAfterBreak="0">
    <w:nsid w:val="77293D08"/>
    <w:multiLevelType w:val="multilevel"/>
    <w:tmpl w:val="31828DF6"/>
    <w:styleLink w:val="WW8Num35"/>
    <w:lvl w:ilvl="0">
      <w:start w:val="1"/>
      <w:numFmt w:val="decimal"/>
      <w:lvlText w:val="%1."/>
      <w:lvlJc w:val="left"/>
      <w:pPr>
        <w:ind w:left="927" w:hanging="360"/>
      </w:pPr>
      <w:rPr>
        <w:color w:val="000000"/>
      </w:rPr>
    </w:lvl>
    <w:lvl w:ilvl="1">
      <w:start w:val="1"/>
      <w:numFmt w:val="ideographTraditional"/>
      <w:lvlText w:val="%2、"/>
      <w:lvlJc w:val="left"/>
      <w:pPr>
        <w:ind w:left="1527" w:hanging="480"/>
      </w:pPr>
    </w:lvl>
    <w:lvl w:ilvl="2">
      <w:start w:val="1"/>
      <w:numFmt w:val="lowerRoman"/>
      <w:lvlText w:val="%3."/>
      <w:lvlJc w:val="right"/>
      <w:pPr>
        <w:ind w:left="2007" w:hanging="480"/>
      </w:pPr>
    </w:lvl>
    <w:lvl w:ilvl="3">
      <w:start w:val="1"/>
      <w:numFmt w:val="decimal"/>
      <w:lvlText w:val="%4."/>
      <w:lvlJc w:val="left"/>
      <w:pPr>
        <w:ind w:left="2487" w:hanging="480"/>
      </w:pPr>
    </w:lvl>
    <w:lvl w:ilvl="4">
      <w:start w:val="1"/>
      <w:numFmt w:val="ideographTraditional"/>
      <w:lvlText w:val="%5、"/>
      <w:lvlJc w:val="left"/>
      <w:pPr>
        <w:ind w:left="2967" w:hanging="480"/>
      </w:pPr>
    </w:lvl>
    <w:lvl w:ilvl="5">
      <w:start w:val="1"/>
      <w:numFmt w:val="lowerRoman"/>
      <w:lvlText w:val="%6."/>
      <w:lvlJc w:val="right"/>
      <w:pPr>
        <w:ind w:left="3447" w:hanging="480"/>
      </w:pPr>
    </w:lvl>
    <w:lvl w:ilvl="6">
      <w:start w:val="1"/>
      <w:numFmt w:val="decimal"/>
      <w:lvlText w:val="%7."/>
      <w:lvlJc w:val="left"/>
      <w:pPr>
        <w:ind w:left="3927" w:hanging="480"/>
      </w:pPr>
    </w:lvl>
    <w:lvl w:ilvl="7">
      <w:start w:val="1"/>
      <w:numFmt w:val="ideographTraditional"/>
      <w:lvlText w:val="%8、"/>
      <w:lvlJc w:val="left"/>
      <w:pPr>
        <w:ind w:left="4407" w:hanging="480"/>
      </w:pPr>
    </w:lvl>
    <w:lvl w:ilvl="8">
      <w:start w:val="1"/>
      <w:numFmt w:val="lowerRoman"/>
      <w:lvlText w:val="%9."/>
      <w:lvlJc w:val="right"/>
      <w:pPr>
        <w:ind w:left="4887" w:hanging="480"/>
      </w:pPr>
    </w:lvl>
  </w:abstractNum>
  <w:abstractNum w:abstractNumId="57" w15:restartNumberingAfterBreak="0">
    <w:nsid w:val="790226B8"/>
    <w:multiLevelType w:val="multilevel"/>
    <w:tmpl w:val="2C6A5C9E"/>
    <w:styleLink w:val="WW8Num4"/>
    <w:lvl w:ilvl="0">
      <w:start w:val="1"/>
      <w:numFmt w:val="decimal"/>
      <w:lvlText w:val="%1."/>
      <w:lvlJc w:val="left"/>
      <w:pPr>
        <w:ind w:left="480" w:hanging="480"/>
      </w:pPr>
      <w:rPr>
        <w:sz w:val="24"/>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8" w15:restartNumberingAfterBreak="0">
    <w:nsid w:val="7CEF338A"/>
    <w:multiLevelType w:val="multilevel"/>
    <w:tmpl w:val="D766FBC8"/>
    <w:styleLink w:val="WW8Num16"/>
    <w:lvl w:ilvl="0">
      <w:start w:val="1"/>
      <w:numFmt w:val="decimal"/>
      <w:lvlText w:val="%1."/>
      <w:lvlJc w:val="left"/>
      <w:pPr>
        <w:ind w:left="480" w:hanging="480"/>
      </w:pPr>
      <w:rPr>
        <w:sz w:val="24"/>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9" w15:restartNumberingAfterBreak="0">
    <w:nsid w:val="7E4900E2"/>
    <w:multiLevelType w:val="multilevel"/>
    <w:tmpl w:val="3A36A21E"/>
    <w:styleLink w:val="WW8Num31"/>
    <w:lvl w:ilvl="0">
      <w:start w:val="1"/>
      <w:numFmt w:val="decimal"/>
      <w:lvlText w:val="%1."/>
      <w:lvlJc w:val="left"/>
      <w:pPr>
        <w:ind w:left="480" w:hanging="480"/>
      </w:pPr>
      <w:rPr>
        <w:sz w:val="24"/>
        <w:szCs w:val="24"/>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0" w15:restartNumberingAfterBreak="0">
    <w:nsid w:val="7F094282"/>
    <w:multiLevelType w:val="multilevel"/>
    <w:tmpl w:val="31EC958A"/>
    <w:lvl w:ilvl="0">
      <w:start w:val="1"/>
      <w:numFmt w:val="japaneseCounting"/>
      <w:lvlText w:val="第%1條："/>
      <w:lvlJc w:val="left"/>
      <w:pPr>
        <w:ind w:left="480" w:hanging="480"/>
      </w:pPr>
      <w:rPr>
        <w:rFonts w:eastAsia="標楷體"/>
        <w:b/>
        <w:i w:val="0"/>
        <w:color w:val="000000"/>
        <w:kern w:val="0"/>
        <w:sz w:val="24"/>
      </w:rPr>
    </w:lvl>
    <w:lvl w:ilvl="1">
      <w:start w:val="1"/>
      <w:numFmt w:val="japaneseCounting"/>
      <w:lvlText w:val="%2、"/>
      <w:lvlJc w:val="left"/>
      <w:pPr>
        <w:ind w:left="960" w:hanging="480"/>
      </w:pPr>
      <w:rPr>
        <w:rFonts w:eastAsia="標楷體"/>
        <w:color w:val="000000"/>
        <w:kern w:val="0"/>
        <w:lang w:val="en-US"/>
      </w:rPr>
    </w:lvl>
    <w:lvl w:ilvl="2">
      <w:start w:val="1"/>
      <w:numFmt w:val="decimal"/>
      <w:lvlText w:val="%3."/>
      <w:lvlJc w:val="left"/>
      <w:pPr>
        <w:ind w:left="1440" w:hanging="480"/>
      </w:pPr>
      <w:rPr>
        <w:rFonts w:eastAsia="標楷體"/>
        <w:color w:val="000000"/>
        <w:kern w:val="0"/>
      </w:r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39"/>
  </w:num>
  <w:num w:numId="2">
    <w:abstractNumId w:val="50"/>
  </w:num>
  <w:num w:numId="3">
    <w:abstractNumId w:val="13"/>
  </w:num>
  <w:num w:numId="4">
    <w:abstractNumId w:val="57"/>
  </w:num>
  <w:num w:numId="5">
    <w:abstractNumId w:val="27"/>
  </w:num>
  <w:num w:numId="6">
    <w:abstractNumId w:val="35"/>
  </w:num>
  <w:num w:numId="7">
    <w:abstractNumId w:val="29"/>
    <w:lvlOverride w:ilvl="0">
      <w:lvl w:ilvl="0">
        <w:start w:val="1"/>
        <w:numFmt w:val="japaneseCounting"/>
        <w:lvlText w:val="第%1條："/>
        <w:lvlJc w:val="left"/>
        <w:pPr>
          <w:ind w:left="480" w:hanging="480"/>
        </w:pPr>
        <w:rPr>
          <w:rFonts w:eastAsia="標楷體"/>
          <w:b/>
          <w:i w:val="0"/>
          <w:color w:val="000000"/>
          <w:kern w:val="0"/>
          <w:sz w:val="24"/>
        </w:rPr>
      </w:lvl>
    </w:lvlOverride>
  </w:num>
  <w:num w:numId="8">
    <w:abstractNumId w:val="8"/>
  </w:num>
  <w:num w:numId="9">
    <w:abstractNumId w:val="28"/>
  </w:num>
  <w:num w:numId="10">
    <w:abstractNumId w:val="42"/>
  </w:num>
  <w:num w:numId="11">
    <w:abstractNumId w:val="14"/>
  </w:num>
  <w:num w:numId="12">
    <w:abstractNumId w:val="17"/>
  </w:num>
  <w:num w:numId="13">
    <w:abstractNumId w:val="24"/>
  </w:num>
  <w:num w:numId="14">
    <w:abstractNumId w:val="3"/>
  </w:num>
  <w:num w:numId="15">
    <w:abstractNumId w:val="33"/>
  </w:num>
  <w:num w:numId="16">
    <w:abstractNumId w:val="58"/>
  </w:num>
  <w:num w:numId="17">
    <w:abstractNumId w:val="54"/>
  </w:num>
  <w:num w:numId="18">
    <w:abstractNumId w:val="43"/>
  </w:num>
  <w:num w:numId="19">
    <w:abstractNumId w:val="48"/>
  </w:num>
  <w:num w:numId="20">
    <w:abstractNumId w:val="23"/>
  </w:num>
  <w:num w:numId="21">
    <w:abstractNumId w:val="19"/>
  </w:num>
  <w:num w:numId="22">
    <w:abstractNumId w:val="37"/>
  </w:num>
  <w:num w:numId="23">
    <w:abstractNumId w:val="1"/>
  </w:num>
  <w:num w:numId="24">
    <w:abstractNumId w:val="0"/>
  </w:num>
  <w:num w:numId="25">
    <w:abstractNumId w:val="47"/>
  </w:num>
  <w:num w:numId="26">
    <w:abstractNumId w:val="41"/>
  </w:num>
  <w:num w:numId="27">
    <w:abstractNumId w:val="30"/>
  </w:num>
  <w:num w:numId="28">
    <w:abstractNumId w:val="49"/>
  </w:num>
  <w:num w:numId="29">
    <w:abstractNumId w:val="7"/>
  </w:num>
  <w:num w:numId="30">
    <w:abstractNumId w:val="18"/>
  </w:num>
  <w:num w:numId="31">
    <w:abstractNumId w:val="59"/>
  </w:num>
  <w:num w:numId="32">
    <w:abstractNumId w:val="52"/>
  </w:num>
  <w:num w:numId="33">
    <w:abstractNumId w:val="26"/>
  </w:num>
  <w:num w:numId="34">
    <w:abstractNumId w:val="36"/>
  </w:num>
  <w:num w:numId="35">
    <w:abstractNumId w:val="56"/>
  </w:num>
  <w:num w:numId="36">
    <w:abstractNumId w:val="34"/>
  </w:num>
  <w:num w:numId="37">
    <w:abstractNumId w:val="16"/>
  </w:num>
  <w:num w:numId="38">
    <w:abstractNumId w:val="51"/>
  </w:num>
  <w:num w:numId="39">
    <w:abstractNumId w:val="11"/>
  </w:num>
  <w:num w:numId="40">
    <w:abstractNumId w:val="31"/>
  </w:num>
  <w:num w:numId="41">
    <w:abstractNumId w:val="6"/>
  </w:num>
  <w:num w:numId="42">
    <w:abstractNumId w:val="40"/>
  </w:num>
  <w:num w:numId="43">
    <w:abstractNumId w:val="2"/>
  </w:num>
  <w:num w:numId="44">
    <w:abstractNumId w:val="55"/>
  </w:num>
  <w:num w:numId="45">
    <w:abstractNumId w:val="4"/>
  </w:num>
  <w:num w:numId="46">
    <w:abstractNumId w:val="29"/>
  </w:num>
  <w:num w:numId="47">
    <w:abstractNumId w:val="9"/>
  </w:num>
  <w:num w:numId="48">
    <w:abstractNumId w:val="5"/>
  </w:num>
  <w:num w:numId="49">
    <w:abstractNumId w:val="44"/>
  </w:num>
  <w:num w:numId="50">
    <w:abstractNumId w:val="25"/>
  </w:num>
  <w:num w:numId="51">
    <w:abstractNumId w:val="12"/>
  </w:num>
  <w:num w:numId="52">
    <w:abstractNumId w:val="22"/>
  </w:num>
  <w:num w:numId="53">
    <w:abstractNumId w:val="45"/>
  </w:num>
  <w:num w:numId="54">
    <w:abstractNumId w:val="60"/>
  </w:num>
  <w:num w:numId="55">
    <w:abstractNumId w:val="20"/>
  </w:num>
  <w:num w:numId="56">
    <w:abstractNumId w:val="38"/>
  </w:num>
  <w:num w:numId="57">
    <w:abstractNumId w:val="15"/>
  </w:num>
  <w:num w:numId="58">
    <w:abstractNumId w:val="10"/>
  </w:num>
  <w:num w:numId="59">
    <w:abstractNumId w:val="21"/>
  </w:num>
  <w:num w:numId="60">
    <w:abstractNumId w:val="46"/>
  </w:num>
  <w:num w:numId="61">
    <w:abstractNumId w:val="53"/>
  </w:num>
  <w:num w:numId="62">
    <w:abstractNumId w:val="32"/>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clean"/>
  <w:defaultTabStop w:val="480"/>
  <w:autoHyphenation/>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7BE4"/>
    <w:rsid w:val="00042229"/>
    <w:rsid w:val="00043EC5"/>
    <w:rsid w:val="0004403C"/>
    <w:rsid w:val="000862E3"/>
    <w:rsid w:val="000B4B3A"/>
    <w:rsid w:val="000D6B43"/>
    <w:rsid w:val="000E6566"/>
    <w:rsid w:val="0014713C"/>
    <w:rsid w:val="001F4FC7"/>
    <w:rsid w:val="00246600"/>
    <w:rsid w:val="002923BF"/>
    <w:rsid w:val="003339F9"/>
    <w:rsid w:val="00355604"/>
    <w:rsid w:val="00383096"/>
    <w:rsid w:val="003A74AF"/>
    <w:rsid w:val="003B529E"/>
    <w:rsid w:val="00424B75"/>
    <w:rsid w:val="00466E94"/>
    <w:rsid w:val="00473C38"/>
    <w:rsid w:val="00490128"/>
    <w:rsid w:val="004C77F9"/>
    <w:rsid w:val="004C7ED9"/>
    <w:rsid w:val="004F549C"/>
    <w:rsid w:val="004F641E"/>
    <w:rsid w:val="00504903"/>
    <w:rsid w:val="005654C0"/>
    <w:rsid w:val="005D1471"/>
    <w:rsid w:val="00613E1C"/>
    <w:rsid w:val="006700B7"/>
    <w:rsid w:val="006757D1"/>
    <w:rsid w:val="006774BE"/>
    <w:rsid w:val="00696162"/>
    <w:rsid w:val="007E34C8"/>
    <w:rsid w:val="00810392"/>
    <w:rsid w:val="008419D5"/>
    <w:rsid w:val="00865A1B"/>
    <w:rsid w:val="008A5380"/>
    <w:rsid w:val="0091636A"/>
    <w:rsid w:val="00933FA8"/>
    <w:rsid w:val="00975129"/>
    <w:rsid w:val="00984DEF"/>
    <w:rsid w:val="00985E46"/>
    <w:rsid w:val="009B1A41"/>
    <w:rsid w:val="009C2FAF"/>
    <w:rsid w:val="00AA6489"/>
    <w:rsid w:val="00AC0001"/>
    <w:rsid w:val="00AC0EC9"/>
    <w:rsid w:val="00AC509C"/>
    <w:rsid w:val="00AD5761"/>
    <w:rsid w:val="00AE3F20"/>
    <w:rsid w:val="00AF39D9"/>
    <w:rsid w:val="00B17AF1"/>
    <w:rsid w:val="00B447DA"/>
    <w:rsid w:val="00B617A4"/>
    <w:rsid w:val="00B71C08"/>
    <w:rsid w:val="00BD4DBB"/>
    <w:rsid w:val="00BF4E1B"/>
    <w:rsid w:val="00C31F26"/>
    <w:rsid w:val="00C44473"/>
    <w:rsid w:val="00C44E7C"/>
    <w:rsid w:val="00C52B24"/>
    <w:rsid w:val="00C60A1B"/>
    <w:rsid w:val="00CC7BE4"/>
    <w:rsid w:val="00D31D69"/>
    <w:rsid w:val="00D81F08"/>
    <w:rsid w:val="00D83633"/>
    <w:rsid w:val="00DD0AE5"/>
    <w:rsid w:val="00E1660A"/>
    <w:rsid w:val="00E5036D"/>
    <w:rsid w:val="00E61560"/>
    <w:rsid w:val="00E74C9B"/>
    <w:rsid w:val="00E91973"/>
    <w:rsid w:val="00E96438"/>
    <w:rsid w:val="00EB6C1E"/>
    <w:rsid w:val="00F20115"/>
    <w:rsid w:val="00F27F2B"/>
    <w:rsid w:val="00F33D6C"/>
    <w:rsid w:val="00F94EE4"/>
    <w:rsid w:val="00FA10DD"/>
    <w:rsid w:val="00FA4756"/>
  </w:rsids>
  <m:mathPr>
    <m:mathFont m:val="Cambria Math"/>
    <m:brkBin m:val="before"/>
    <m:brkBinSub m:val="--"/>
    <m:smallFrac m:val="0"/>
    <m:dispDef/>
    <m:lMargin m:val="0"/>
    <m:rMargin m:val="0"/>
    <m:defJc m:val="centerGroup"/>
    <m:wrapIndent m:val="1440"/>
    <m:intLim m:val="subSup"/>
    <m:naryLim m:val="undOvr"/>
  </m:mathPr>
  <w:themeFontLang w:val="en-AU"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C73F6BC"/>
  <w15:docId w15:val="{550EBA24-3618-4D28-A366-F5F3B105A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新細明體" w:hAnsi="Liberation Serif" w:cs="Mangal"/>
        <w:kern w:val="3"/>
        <w:sz w:val="24"/>
        <w:szCs w:val="24"/>
        <w:lang w:val="en-US" w:eastAsia="zh-TW"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4">
    <w:name w:val="heading 4"/>
    <w:basedOn w:val="Standard"/>
    <w:next w:val="Textbody"/>
    <w:uiPriority w:val="9"/>
    <w:semiHidden/>
    <w:unhideWhenUsed/>
    <w:qFormat/>
    <w:pPr>
      <w:widowControl/>
      <w:spacing w:before="280" w:after="280"/>
      <w:outlineLvl w:val="3"/>
    </w:pPr>
    <w:rPr>
      <w:rFonts w:ascii="新細明體, PMingLiU" w:hAnsi="新細明體, PMingLiU" w:cs="新細明體, PMingLiU"/>
      <w:b/>
      <w:bCs/>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Pr>
      <w:rFonts w:ascii="Times New Roman" w:eastAsia="新細明體, PMingLiU" w:hAnsi="Times New Roman" w:cs="Times New Roman"/>
      <w:lang w:bidi="ar-SA"/>
    </w:rPr>
  </w:style>
  <w:style w:type="paragraph" w:customStyle="1" w:styleId="Heading">
    <w:name w:val="Heading"/>
    <w:basedOn w:val="Standard"/>
    <w:next w:val="Textbody"/>
    <w:pPr>
      <w:keepNext/>
      <w:spacing w:before="240" w:after="120"/>
    </w:pPr>
    <w:rPr>
      <w:rFonts w:ascii="Liberation Sans" w:eastAsia="微軟正黑體" w:hAnsi="Liberation Sans" w:cs="Mangal"/>
      <w:sz w:val="28"/>
      <w:szCs w:val="28"/>
    </w:rPr>
  </w:style>
  <w:style w:type="paragraph" w:customStyle="1" w:styleId="Textbody">
    <w:name w:val="Text body"/>
    <w:basedOn w:val="Standard"/>
    <w:pPr>
      <w:spacing w:after="140" w:line="276" w:lineRule="auto"/>
    </w:pPr>
  </w:style>
  <w:style w:type="paragraph" w:styleId="a3">
    <w:name w:val="List"/>
    <w:basedOn w:val="Textbody"/>
    <w:rPr>
      <w:rFonts w:cs="Mangal"/>
    </w:rPr>
  </w:style>
  <w:style w:type="paragraph" w:styleId="a4">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styleId="a5">
    <w:name w:val="footer"/>
    <w:basedOn w:val="Standard"/>
    <w:pPr>
      <w:tabs>
        <w:tab w:val="center" w:pos="4153"/>
        <w:tab w:val="right" w:pos="8306"/>
      </w:tabs>
      <w:snapToGrid w:val="0"/>
    </w:pPr>
    <w:rPr>
      <w:sz w:val="20"/>
      <w:szCs w:val="20"/>
    </w:rPr>
  </w:style>
  <w:style w:type="paragraph" w:styleId="a6">
    <w:name w:val="header"/>
    <w:basedOn w:val="Standard"/>
    <w:pPr>
      <w:tabs>
        <w:tab w:val="center" w:pos="4153"/>
        <w:tab w:val="right" w:pos="8306"/>
      </w:tabs>
      <w:snapToGrid w:val="0"/>
    </w:pPr>
    <w:rPr>
      <w:sz w:val="20"/>
      <w:szCs w:val="20"/>
    </w:rPr>
  </w:style>
  <w:style w:type="paragraph" w:customStyle="1" w:styleId="Default">
    <w:name w:val="Default"/>
    <w:pPr>
      <w:autoSpaceDE w:val="0"/>
    </w:pPr>
    <w:rPr>
      <w:rFonts w:ascii="標楷體" w:eastAsia="標楷體" w:hAnsi="標楷體" w:cs="標楷體"/>
      <w:color w:val="000000"/>
      <w:lang w:bidi="ar-SA"/>
    </w:rPr>
  </w:style>
  <w:style w:type="paragraph" w:customStyle="1" w:styleId="1">
    <w:name w:val="封面1"/>
    <w:basedOn w:val="Standard"/>
    <w:pPr>
      <w:spacing w:line="360" w:lineRule="atLeast"/>
      <w:ind w:firstLine="9180"/>
    </w:pPr>
    <w:rPr>
      <w:rFonts w:ascii="華康楷書體W5, 微軟正黑體" w:eastAsia="華康楷書體W5, 微軟正黑體" w:hAnsi="華康楷書體W5, 微軟正黑體" w:cs="華康楷書體W5, 微軟正黑體"/>
      <w:kern w:val="0"/>
      <w:sz w:val="36"/>
      <w:szCs w:val="20"/>
    </w:rPr>
  </w:style>
  <w:style w:type="paragraph" w:customStyle="1" w:styleId="a7">
    <w:name w:val="條文二"/>
    <w:basedOn w:val="Standard"/>
    <w:pPr>
      <w:spacing w:before="60" w:after="60" w:line="400" w:lineRule="atLeast"/>
      <w:ind w:left="1800" w:hanging="541"/>
    </w:pPr>
    <w:rPr>
      <w:rFonts w:ascii="華康楷書體W5, 微軟正黑體" w:eastAsia="華康楷書體W5, 微軟正黑體" w:hAnsi="華康楷書體W5, 微軟正黑體" w:cs="華康楷書體W5, 微軟正黑體"/>
      <w:kern w:val="0"/>
      <w:sz w:val="28"/>
      <w:szCs w:val="20"/>
    </w:rPr>
  </w:style>
  <w:style w:type="paragraph" w:customStyle="1" w:styleId="6">
    <w:name w:val="條文6"/>
    <w:basedOn w:val="Standard"/>
    <w:pPr>
      <w:spacing w:after="120" w:line="420" w:lineRule="atLeast"/>
      <w:ind w:left="1800" w:hanging="541"/>
    </w:pPr>
    <w:rPr>
      <w:rFonts w:ascii="華康楷書體W5, 微軟正黑體" w:eastAsia="華康楷書體W5, 微軟正黑體" w:hAnsi="華康楷書體W5, 微軟正黑體" w:cs="華康楷書體W5, 微軟正黑體"/>
      <w:kern w:val="0"/>
      <w:sz w:val="28"/>
      <w:szCs w:val="20"/>
    </w:rPr>
  </w:style>
  <w:style w:type="paragraph" w:customStyle="1" w:styleId="12">
    <w:name w:val="條文12"/>
    <w:basedOn w:val="Standard"/>
    <w:pPr>
      <w:spacing w:after="120" w:line="420" w:lineRule="atLeast"/>
      <w:ind w:left="1259" w:firstLine="1"/>
    </w:pPr>
    <w:rPr>
      <w:rFonts w:ascii="華康楷書體W5, 微軟正黑體" w:eastAsia="華康楷書體W5, 微軟正黑體" w:hAnsi="華康楷書體W5, 微軟正黑體" w:cs="華康楷書體W5, 微軟正黑體"/>
      <w:kern w:val="0"/>
      <w:sz w:val="28"/>
      <w:szCs w:val="20"/>
    </w:rPr>
  </w:style>
  <w:style w:type="paragraph" w:customStyle="1" w:styleId="a8">
    <w:name w:val="條文標題"/>
    <w:basedOn w:val="Standard"/>
    <w:pPr>
      <w:spacing w:before="60" w:after="60" w:line="360" w:lineRule="atLeast"/>
    </w:pPr>
    <w:rPr>
      <w:rFonts w:ascii="華康隸書體W5, 細明體" w:eastAsia="華康隸書體W5, 細明體" w:hAnsi="華康隸書體W5, 細明體" w:cs="華康隸書體W5, 細明體"/>
      <w:b/>
      <w:kern w:val="0"/>
      <w:sz w:val="32"/>
      <w:szCs w:val="20"/>
    </w:rPr>
  </w:style>
  <w:style w:type="paragraph" w:customStyle="1" w:styleId="-11">
    <w:name w:val="彩色清單 - 輔色 11"/>
    <w:basedOn w:val="Standard"/>
    <w:pPr>
      <w:ind w:left="480"/>
    </w:pPr>
    <w:rPr>
      <w:szCs w:val="20"/>
    </w:rPr>
  </w:style>
  <w:style w:type="paragraph" w:customStyle="1" w:styleId="10">
    <w:name w:val="註解方塊文字1"/>
    <w:basedOn w:val="Standard"/>
    <w:rPr>
      <w:rFonts w:ascii="Cambria" w:eastAsia="Cambria" w:hAnsi="Cambria" w:cs="Cambria"/>
      <w:sz w:val="18"/>
      <w:szCs w:val="18"/>
    </w:rPr>
  </w:style>
  <w:style w:type="paragraph" w:customStyle="1" w:styleId="11">
    <w:name w:val="註解文字1"/>
    <w:basedOn w:val="Standard"/>
  </w:style>
  <w:style w:type="paragraph" w:customStyle="1" w:styleId="13">
    <w:name w:val="註解主旨1"/>
    <w:basedOn w:val="11"/>
    <w:next w:val="11"/>
    <w:rPr>
      <w:b/>
      <w:bCs/>
    </w:rPr>
  </w:style>
  <w:style w:type="paragraph" w:customStyle="1" w:styleId="-110">
    <w:name w:val="彩色網底 - 輔色 11"/>
    <w:pPr>
      <w:widowControl/>
    </w:pPr>
    <w:rPr>
      <w:rFonts w:ascii="Times New Roman" w:eastAsia="新細明體, PMingLiU" w:hAnsi="Times New Roman" w:cs="Times New Roman"/>
      <w:lang w:bidi="ar-SA"/>
    </w:rPr>
  </w:style>
  <w:style w:type="paragraph" w:customStyle="1" w:styleId="HTML1">
    <w:name w:val="HTML 預設格式1"/>
    <w:basedOn w:val="Standar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MingLiU" w:eastAsia="細明體, MingLiU" w:hAnsi="細明體, MingLiU" w:cs="細明體, MingLiU"/>
      <w:kern w:val="0"/>
    </w:rPr>
  </w:style>
  <w:style w:type="paragraph" w:customStyle="1" w:styleId="14">
    <w:name w:val="清單段落1"/>
    <w:basedOn w:val="Standard"/>
    <w:pPr>
      <w:ind w:left="480"/>
    </w:pPr>
    <w:rPr>
      <w:szCs w:val="20"/>
    </w:rPr>
  </w:style>
  <w:style w:type="paragraph" w:customStyle="1" w:styleId="15">
    <w:name w:val="修訂1"/>
    <w:pPr>
      <w:widowControl/>
    </w:pPr>
    <w:rPr>
      <w:rFonts w:ascii="Times New Roman" w:eastAsia="新細明體, PMingLiU" w:hAnsi="Times New Roman" w:cs="Times New Roman"/>
      <w:lang w:bidi="ar-SA"/>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sz w:val="24"/>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sz w:val="24"/>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sz w:val="20"/>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eastAsia="標楷體"/>
      <w:b/>
      <w:i w:val="0"/>
      <w:color w:val="000000"/>
      <w:kern w:val="0"/>
      <w:sz w:val="24"/>
    </w:rPr>
  </w:style>
  <w:style w:type="character" w:customStyle="1" w:styleId="WW8Num7z1">
    <w:name w:val="WW8Num7z1"/>
    <w:rPr>
      <w:rFonts w:eastAsia="標楷體"/>
      <w:color w:val="000000"/>
      <w:kern w:val="0"/>
      <w:lang w:val="en-US"/>
    </w:rPr>
  </w:style>
  <w:style w:type="character" w:customStyle="1" w:styleId="WW8Num7z2">
    <w:name w:val="WW8Num7z2"/>
    <w:rPr>
      <w:rFonts w:eastAsia="標楷體"/>
      <w:color w:val="000000"/>
      <w:kern w:val="0"/>
    </w:rPr>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sz w:val="20"/>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sz w:val="24"/>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sz w:val="24"/>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sz w:val="20"/>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sz w:val="20"/>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sz w:val="24"/>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sz w:val="24"/>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color w:val="000000"/>
      <w:lang w:val="en-US"/>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sz w:val="20"/>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sz w:val="24"/>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sz w:val="20"/>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sz w:val="24"/>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sz w:val="24"/>
    </w:rPr>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sz w:val="24"/>
    </w:rPr>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ascii="Arial" w:eastAsia="Arial" w:hAnsi="Arial" w:cs="Arial"/>
    </w:rPr>
  </w:style>
  <w:style w:type="character" w:customStyle="1" w:styleId="WW8Num31z0">
    <w:name w:val="WW8Num31z0"/>
    <w:rPr>
      <w:sz w:val="24"/>
      <w:szCs w:val="24"/>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sz w:val="24"/>
    </w:rPr>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rPr>
      <w:sz w:val="20"/>
    </w:rPr>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color w:val="000000"/>
    </w:rPr>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sz w:val="24"/>
    </w:rPr>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rPr>
      <w:sz w:val="24"/>
    </w:rPr>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rPr>
      <w:sz w:val="24"/>
    </w:rPr>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rPr>
      <w:sz w:val="24"/>
    </w:rPr>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sz w:val="24"/>
    </w:rPr>
  </w:style>
  <w:style w:type="character" w:customStyle="1" w:styleId="WW8Num43z1">
    <w:name w:val="WW8Num43z1"/>
  </w:style>
  <w:style w:type="character" w:customStyle="1" w:styleId="WW8Num43z2">
    <w:name w:val="WW8Num43z2"/>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rPr>
      <w:rFonts w:ascii="標楷體" w:eastAsia="標楷體" w:hAnsi="標楷體" w:cs="Times New Roman"/>
      <w:sz w:val="24"/>
      <w:szCs w:val="24"/>
    </w:rPr>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16">
    <w:name w:val="預設段落字型1"/>
  </w:style>
  <w:style w:type="character" w:styleId="a9">
    <w:name w:val="page number"/>
    <w:basedOn w:val="16"/>
  </w:style>
  <w:style w:type="character" w:customStyle="1" w:styleId="aa">
    <w:name w:val="頁首 字元"/>
    <w:rPr>
      <w:kern w:val="3"/>
    </w:rPr>
  </w:style>
  <w:style w:type="character" w:customStyle="1" w:styleId="ab">
    <w:name w:val="頁尾 字元"/>
    <w:rPr>
      <w:kern w:val="3"/>
    </w:rPr>
  </w:style>
  <w:style w:type="character" w:customStyle="1" w:styleId="StrongEmphasis">
    <w:name w:val="Strong Emphasis"/>
    <w:rPr>
      <w:b/>
      <w:bCs/>
    </w:rPr>
  </w:style>
  <w:style w:type="character" w:styleId="ac">
    <w:name w:val="Emphasis"/>
    <w:uiPriority w:val="20"/>
    <w:qFormat/>
    <w:rPr>
      <w:b w:val="0"/>
      <w:bCs w:val="0"/>
      <w:i w:val="0"/>
      <w:iCs w:val="0"/>
      <w:color w:val="CC0033"/>
    </w:rPr>
  </w:style>
  <w:style w:type="character" w:customStyle="1" w:styleId="st">
    <w:name w:val="st"/>
  </w:style>
  <w:style w:type="character" w:customStyle="1" w:styleId="ad">
    <w:name w:val="註解方塊文字 字元"/>
    <w:rPr>
      <w:rFonts w:ascii="Cambria" w:eastAsia="新細明體, PMingLiU" w:hAnsi="Cambria" w:cs="Times New Roman"/>
      <w:kern w:val="3"/>
      <w:sz w:val="18"/>
      <w:szCs w:val="18"/>
    </w:rPr>
  </w:style>
  <w:style w:type="character" w:customStyle="1" w:styleId="17">
    <w:name w:val="註解參照1"/>
    <w:rPr>
      <w:sz w:val="18"/>
      <w:szCs w:val="18"/>
    </w:rPr>
  </w:style>
  <w:style w:type="character" w:customStyle="1" w:styleId="ae">
    <w:name w:val="註解文字 字元"/>
    <w:rPr>
      <w:kern w:val="3"/>
      <w:sz w:val="24"/>
      <w:szCs w:val="24"/>
    </w:rPr>
  </w:style>
  <w:style w:type="character" w:customStyle="1" w:styleId="af">
    <w:name w:val="註解主旨 字元"/>
    <w:rPr>
      <w:b/>
      <w:bCs/>
      <w:kern w:val="3"/>
      <w:sz w:val="24"/>
      <w:szCs w:val="24"/>
    </w:rPr>
  </w:style>
  <w:style w:type="character" w:customStyle="1" w:styleId="40">
    <w:name w:val="標題 4 字元"/>
    <w:rPr>
      <w:rFonts w:ascii="新細明體, PMingLiU" w:eastAsia="新細明體, PMingLiU" w:hAnsi="新細明體, PMingLiU" w:cs="新細明體, PMingLiU"/>
      <w:b/>
      <w:bCs/>
      <w:sz w:val="24"/>
      <w:szCs w:val="24"/>
    </w:rPr>
  </w:style>
  <w:style w:type="character" w:customStyle="1" w:styleId="HTML">
    <w:name w:val="HTML 預設格式 字元"/>
    <w:rPr>
      <w:rFonts w:ascii="細明體, MingLiU" w:eastAsia="細明體, MingLiU" w:hAnsi="細明體, MingLiU" w:cs="細明體, MingLiU"/>
      <w:sz w:val="24"/>
      <w:szCs w:val="24"/>
    </w:rPr>
  </w:style>
  <w:style w:type="character" w:customStyle="1" w:styleId="Internetlink">
    <w:name w:val="Internet link"/>
    <w:rPr>
      <w:color w:val="0563C1"/>
      <w:u w:val="single"/>
    </w:rPr>
  </w:style>
  <w:style w:type="numbering" w:customStyle="1" w:styleId="WW8Num1">
    <w:name w:val="WW8Num1"/>
    <w:basedOn w:val="a2"/>
    <w:pPr>
      <w:numPr>
        <w:numId w:val="1"/>
      </w:numPr>
    </w:pPr>
  </w:style>
  <w:style w:type="numbering" w:customStyle="1" w:styleId="WW8Num2">
    <w:name w:val="WW8Num2"/>
    <w:basedOn w:val="a2"/>
    <w:pPr>
      <w:numPr>
        <w:numId w:val="2"/>
      </w:numPr>
    </w:pPr>
  </w:style>
  <w:style w:type="numbering" w:customStyle="1" w:styleId="WW8Num3">
    <w:name w:val="WW8Num3"/>
    <w:basedOn w:val="a2"/>
    <w:pPr>
      <w:numPr>
        <w:numId w:val="3"/>
      </w:numPr>
    </w:pPr>
  </w:style>
  <w:style w:type="numbering" w:customStyle="1" w:styleId="WW8Num4">
    <w:name w:val="WW8Num4"/>
    <w:basedOn w:val="a2"/>
    <w:pPr>
      <w:numPr>
        <w:numId w:val="4"/>
      </w:numPr>
    </w:pPr>
  </w:style>
  <w:style w:type="numbering" w:customStyle="1" w:styleId="WW8Num5">
    <w:name w:val="WW8Num5"/>
    <w:basedOn w:val="a2"/>
    <w:pPr>
      <w:numPr>
        <w:numId w:val="5"/>
      </w:numPr>
    </w:pPr>
  </w:style>
  <w:style w:type="numbering" w:customStyle="1" w:styleId="WW8Num6">
    <w:name w:val="WW8Num6"/>
    <w:basedOn w:val="a2"/>
    <w:pPr>
      <w:numPr>
        <w:numId w:val="6"/>
      </w:numPr>
    </w:pPr>
  </w:style>
  <w:style w:type="numbering" w:customStyle="1" w:styleId="WW8Num7">
    <w:name w:val="WW8Num7"/>
    <w:basedOn w:val="a2"/>
    <w:pPr>
      <w:numPr>
        <w:numId w:val="46"/>
      </w:numPr>
    </w:pPr>
  </w:style>
  <w:style w:type="numbering" w:customStyle="1" w:styleId="WW8Num8">
    <w:name w:val="WW8Num8"/>
    <w:basedOn w:val="a2"/>
    <w:pPr>
      <w:numPr>
        <w:numId w:val="8"/>
      </w:numPr>
    </w:pPr>
  </w:style>
  <w:style w:type="numbering" w:customStyle="1" w:styleId="WW8Num9">
    <w:name w:val="WW8Num9"/>
    <w:basedOn w:val="a2"/>
    <w:pPr>
      <w:numPr>
        <w:numId w:val="9"/>
      </w:numPr>
    </w:pPr>
  </w:style>
  <w:style w:type="numbering" w:customStyle="1" w:styleId="WW8Num10">
    <w:name w:val="WW8Num10"/>
    <w:basedOn w:val="a2"/>
    <w:pPr>
      <w:numPr>
        <w:numId w:val="10"/>
      </w:numPr>
    </w:pPr>
  </w:style>
  <w:style w:type="numbering" w:customStyle="1" w:styleId="WW8Num11">
    <w:name w:val="WW8Num11"/>
    <w:basedOn w:val="a2"/>
    <w:pPr>
      <w:numPr>
        <w:numId w:val="11"/>
      </w:numPr>
    </w:pPr>
  </w:style>
  <w:style w:type="numbering" w:customStyle="1" w:styleId="WW8Num12">
    <w:name w:val="WW8Num12"/>
    <w:basedOn w:val="a2"/>
    <w:pPr>
      <w:numPr>
        <w:numId w:val="12"/>
      </w:numPr>
    </w:pPr>
  </w:style>
  <w:style w:type="numbering" w:customStyle="1" w:styleId="WW8Num13">
    <w:name w:val="WW8Num13"/>
    <w:basedOn w:val="a2"/>
    <w:pPr>
      <w:numPr>
        <w:numId w:val="13"/>
      </w:numPr>
    </w:pPr>
  </w:style>
  <w:style w:type="numbering" w:customStyle="1" w:styleId="WW8Num14">
    <w:name w:val="WW8Num14"/>
    <w:basedOn w:val="a2"/>
    <w:pPr>
      <w:numPr>
        <w:numId w:val="14"/>
      </w:numPr>
    </w:pPr>
  </w:style>
  <w:style w:type="numbering" w:customStyle="1" w:styleId="WW8Num15">
    <w:name w:val="WW8Num15"/>
    <w:basedOn w:val="a2"/>
    <w:pPr>
      <w:numPr>
        <w:numId w:val="15"/>
      </w:numPr>
    </w:pPr>
  </w:style>
  <w:style w:type="numbering" w:customStyle="1" w:styleId="WW8Num16">
    <w:name w:val="WW8Num16"/>
    <w:basedOn w:val="a2"/>
    <w:pPr>
      <w:numPr>
        <w:numId w:val="16"/>
      </w:numPr>
    </w:pPr>
  </w:style>
  <w:style w:type="numbering" w:customStyle="1" w:styleId="WW8Num17">
    <w:name w:val="WW8Num17"/>
    <w:basedOn w:val="a2"/>
    <w:pPr>
      <w:numPr>
        <w:numId w:val="17"/>
      </w:numPr>
    </w:pPr>
  </w:style>
  <w:style w:type="numbering" w:customStyle="1" w:styleId="WW8Num18">
    <w:name w:val="WW8Num18"/>
    <w:basedOn w:val="a2"/>
    <w:pPr>
      <w:numPr>
        <w:numId w:val="18"/>
      </w:numPr>
    </w:pPr>
  </w:style>
  <w:style w:type="numbering" w:customStyle="1" w:styleId="WW8Num19">
    <w:name w:val="WW8Num19"/>
    <w:basedOn w:val="a2"/>
    <w:pPr>
      <w:numPr>
        <w:numId w:val="19"/>
      </w:numPr>
    </w:pPr>
  </w:style>
  <w:style w:type="numbering" w:customStyle="1" w:styleId="WW8Num20">
    <w:name w:val="WW8Num20"/>
    <w:basedOn w:val="a2"/>
    <w:pPr>
      <w:numPr>
        <w:numId w:val="20"/>
      </w:numPr>
    </w:pPr>
  </w:style>
  <w:style w:type="numbering" w:customStyle="1" w:styleId="WW8Num21">
    <w:name w:val="WW8Num21"/>
    <w:basedOn w:val="a2"/>
    <w:pPr>
      <w:numPr>
        <w:numId w:val="21"/>
      </w:numPr>
    </w:pPr>
  </w:style>
  <w:style w:type="numbering" w:customStyle="1" w:styleId="WW8Num22">
    <w:name w:val="WW8Num22"/>
    <w:basedOn w:val="a2"/>
    <w:pPr>
      <w:numPr>
        <w:numId w:val="22"/>
      </w:numPr>
    </w:pPr>
  </w:style>
  <w:style w:type="numbering" w:customStyle="1" w:styleId="WW8Num23">
    <w:name w:val="WW8Num23"/>
    <w:basedOn w:val="a2"/>
    <w:pPr>
      <w:numPr>
        <w:numId w:val="23"/>
      </w:numPr>
    </w:pPr>
  </w:style>
  <w:style w:type="numbering" w:customStyle="1" w:styleId="WW8Num24">
    <w:name w:val="WW8Num24"/>
    <w:basedOn w:val="a2"/>
    <w:pPr>
      <w:numPr>
        <w:numId w:val="24"/>
      </w:numPr>
    </w:pPr>
  </w:style>
  <w:style w:type="numbering" w:customStyle="1" w:styleId="WW8Num25">
    <w:name w:val="WW8Num25"/>
    <w:basedOn w:val="a2"/>
    <w:pPr>
      <w:numPr>
        <w:numId w:val="25"/>
      </w:numPr>
    </w:pPr>
  </w:style>
  <w:style w:type="numbering" w:customStyle="1" w:styleId="WW8Num26">
    <w:name w:val="WW8Num26"/>
    <w:basedOn w:val="a2"/>
    <w:pPr>
      <w:numPr>
        <w:numId w:val="26"/>
      </w:numPr>
    </w:pPr>
  </w:style>
  <w:style w:type="numbering" w:customStyle="1" w:styleId="WW8Num27">
    <w:name w:val="WW8Num27"/>
    <w:basedOn w:val="a2"/>
    <w:pPr>
      <w:numPr>
        <w:numId w:val="27"/>
      </w:numPr>
    </w:pPr>
  </w:style>
  <w:style w:type="numbering" w:customStyle="1" w:styleId="WW8Num28">
    <w:name w:val="WW8Num28"/>
    <w:basedOn w:val="a2"/>
    <w:pPr>
      <w:numPr>
        <w:numId w:val="28"/>
      </w:numPr>
    </w:pPr>
  </w:style>
  <w:style w:type="numbering" w:customStyle="1" w:styleId="WW8Num29">
    <w:name w:val="WW8Num29"/>
    <w:basedOn w:val="a2"/>
    <w:pPr>
      <w:numPr>
        <w:numId w:val="29"/>
      </w:numPr>
    </w:pPr>
  </w:style>
  <w:style w:type="numbering" w:customStyle="1" w:styleId="WW8Num30">
    <w:name w:val="WW8Num30"/>
    <w:basedOn w:val="a2"/>
    <w:pPr>
      <w:numPr>
        <w:numId w:val="30"/>
      </w:numPr>
    </w:pPr>
  </w:style>
  <w:style w:type="numbering" w:customStyle="1" w:styleId="WW8Num31">
    <w:name w:val="WW8Num31"/>
    <w:basedOn w:val="a2"/>
    <w:pPr>
      <w:numPr>
        <w:numId w:val="31"/>
      </w:numPr>
    </w:pPr>
  </w:style>
  <w:style w:type="numbering" w:customStyle="1" w:styleId="WW8Num32">
    <w:name w:val="WW8Num32"/>
    <w:basedOn w:val="a2"/>
    <w:pPr>
      <w:numPr>
        <w:numId w:val="32"/>
      </w:numPr>
    </w:pPr>
  </w:style>
  <w:style w:type="numbering" w:customStyle="1" w:styleId="WW8Num33">
    <w:name w:val="WW8Num33"/>
    <w:basedOn w:val="a2"/>
    <w:pPr>
      <w:numPr>
        <w:numId w:val="33"/>
      </w:numPr>
    </w:pPr>
  </w:style>
  <w:style w:type="numbering" w:customStyle="1" w:styleId="WW8Num34">
    <w:name w:val="WW8Num34"/>
    <w:basedOn w:val="a2"/>
    <w:pPr>
      <w:numPr>
        <w:numId w:val="34"/>
      </w:numPr>
    </w:pPr>
  </w:style>
  <w:style w:type="numbering" w:customStyle="1" w:styleId="WW8Num35">
    <w:name w:val="WW8Num35"/>
    <w:basedOn w:val="a2"/>
    <w:pPr>
      <w:numPr>
        <w:numId w:val="35"/>
      </w:numPr>
    </w:pPr>
  </w:style>
  <w:style w:type="numbering" w:customStyle="1" w:styleId="WW8Num36">
    <w:name w:val="WW8Num36"/>
    <w:basedOn w:val="a2"/>
    <w:pPr>
      <w:numPr>
        <w:numId w:val="36"/>
      </w:numPr>
    </w:pPr>
  </w:style>
  <w:style w:type="numbering" w:customStyle="1" w:styleId="WW8Num37">
    <w:name w:val="WW8Num37"/>
    <w:basedOn w:val="a2"/>
    <w:pPr>
      <w:numPr>
        <w:numId w:val="37"/>
      </w:numPr>
    </w:pPr>
  </w:style>
  <w:style w:type="numbering" w:customStyle="1" w:styleId="WW8Num38">
    <w:name w:val="WW8Num38"/>
    <w:basedOn w:val="a2"/>
    <w:pPr>
      <w:numPr>
        <w:numId w:val="38"/>
      </w:numPr>
    </w:pPr>
  </w:style>
  <w:style w:type="numbering" w:customStyle="1" w:styleId="WW8Num39">
    <w:name w:val="WW8Num39"/>
    <w:basedOn w:val="a2"/>
    <w:pPr>
      <w:numPr>
        <w:numId w:val="39"/>
      </w:numPr>
    </w:pPr>
  </w:style>
  <w:style w:type="numbering" w:customStyle="1" w:styleId="WW8Num40">
    <w:name w:val="WW8Num40"/>
    <w:basedOn w:val="a2"/>
    <w:pPr>
      <w:numPr>
        <w:numId w:val="40"/>
      </w:numPr>
    </w:pPr>
  </w:style>
  <w:style w:type="numbering" w:customStyle="1" w:styleId="WW8Num41">
    <w:name w:val="WW8Num41"/>
    <w:basedOn w:val="a2"/>
    <w:pPr>
      <w:numPr>
        <w:numId w:val="41"/>
      </w:numPr>
    </w:pPr>
  </w:style>
  <w:style w:type="numbering" w:customStyle="1" w:styleId="WW8Num42">
    <w:name w:val="WW8Num42"/>
    <w:basedOn w:val="a2"/>
    <w:pPr>
      <w:numPr>
        <w:numId w:val="42"/>
      </w:numPr>
    </w:pPr>
  </w:style>
  <w:style w:type="numbering" w:customStyle="1" w:styleId="WW8Num43">
    <w:name w:val="WW8Num43"/>
    <w:basedOn w:val="a2"/>
    <w:pPr>
      <w:numPr>
        <w:numId w:val="43"/>
      </w:numPr>
    </w:pPr>
  </w:style>
  <w:style w:type="numbering" w:customStyle="1" w:styleId="WW8Num44">
    <w:name w:val="WW8Num44"/>
    <w:basedOn w:val="a2"/>
    <w:pPr>
      <w:numPr>
        <w:numId w:val="44"/>
      </w:numPr>
    </w:pPr>
  </w:style>
  <w:style w:type="numbering" w:customStyle="1" w:styleId="WW8Num45">
    <w:name w:val="WW8Num45"/>
    <w:basedOn w:val="a2"/>
    <w:pPr>
      <w:numPr>
        <w:numId w:val="45"/>
      </w:numPr>
    </w:pPr>
  </w:style>
  <w:style w:type="character" w:styleId="af0">
    <w:name w:val="annotation reference"/>
    <w:basedOn w:val="a0"/>
    <w:uiPriority w:val="99"/>
    <w:semiHidden/>
    <w:unhideWhenUsed/>
    <w:rsid w:val="00C44E7C"/>
    <w:rPr>
      <w:sz w:val="18"/>
      <w:szCs w:val="18"/>
    </w:rPr>
  </w:style>
  <w:style w:type="paragraph" w:styleId="af1">
    <w:name w:val="annotation text"/>
    <w:basedOn w:val="a"/>
    <w:link w:val="18"/>
    <w:uiPriority w:val="99"/>
    <w:semiHidden/>
    <w:unhideWhenUsed/>
    <w:rsid w:val="00C44E7C"/>
    <w:rPr>
      <w:szCs w:val="21"/>
    </w:rPr>
  </w:style>
  <w:style w:type="character" w:customStyle="1" w:styleId="18">
    <w:name w:val="註解文字 字元1"/>
    <w:basedOn w:val="a0"/>
    <w:link w:val="af1"/>
    <w:uiPriority w:val="99"/>
    <w:semiHidden/>
    <w:rsid w:val="00C44E7C"/>
    <w:rPr>
      <w:szCs w:val="21"/>
    </w:rPr>
  </w:style>
  <w:style w:type="paragraph" w:styleId="af2">
    <w:name w:val="annotation subject"/>
    <w:basedOn w:val="af1"/>
    <w:next w:val="af1"/>
    <w:link w:val="19"/>
    <w:uiPriority w:val="99"/>
    <w:semiHidden/>
    <w:unhideWhenUsed/>
    <w:rsid w:val="00C44E7C"/>
    <w:rPr>
      <w:b/>
      <w:bCs/>
    </w:rPr>
  </w:style>
  <w:style w:type="character" w:customStyle="1" w:styleId="19">
    <w:name w:val="註解主旨 字元1"/>
    <w:basedOn w:val="18"/>
    <w:link w:val="af2"/>
    <w:uiPriority w:val="99"/>
    <w:semiHidden/>
    <w:rsid w:val="00C44E7C"/>
    <w:rPr>
      <w:b/>
      <w:bCs/>
      <w:szCs w:val="21"/>
    </w:rPr>
  </w:style>
  <w:style w:type="paragraph" w:styleId="af3">
    <w:name w:val="Revision"/>
    <w:hidden/>
    <w:uiPriority w:val="99"/>
    <w:semiHidden/>
    <w:rsid w:val="00C44E7C"/>
    <w:pPr>
      <w:widowControl/>
      <w:suppressAutoHyphens w:val="0"/>
      <w:autoSpaceDN/>
      <w:textAlignment w:val="auto"/>
    </w:pPr>
    <w:rPr>
      <w:szCs w:val="21"/>
    </w:rPr>
  </w:style>
  <w:style w:type="paragraph" w:styleId="af4">
    <w:name w:val="Balloon Text"/>
    <w:basedOn w:val="a"/>
    <w:link w:val="1a"/>
    <w:uiPriority w:val="99"/>
    <w:semiHidden/>
    <w:unhideWhenUsed/>
    <w:rsid w:val="00C44E7C"/>
    <w:rPr>
      <w:rFonts w:asciiTheme="majorHAnsi" w:eastAsiaTheme="majorEastAsia" w:hAnsiTheme="majorHAnsi"/>
      <w:sz w:val="18"/>
      <w:szCs w:val="16"/>
    </w:rPr>
  </w:style>
  <w:style w:type="character" w:customStyle="1" w:styleId="1a">
    <w:name w:val="註解方塊文字 字元1"/>
    <w:basedOn w:val="a0"/>
    <w:link w:val="af4"/>
    <w:uiPriority w:val="99"/>
    <w:semiHidden/>
    <w:rsid w:val="00C44E7C"/>
    <w:rPr>
      <w:rFonts w:asciiTheme="majorHAnsi" w:eastAsiaTheme="majorEastAsia" w:hAnsiTheme="majorHAnsi"/>
      <w:sz w:val="18"/>
      <w:szCs w:val="16"/>
    </w:rPr>
  </w:style>
  <w:style w:type="paragraph" w:customStyle="1" w:styleId="af5">
    <w:name w:val="字元 字元 字元 字元 字元 字元 字元"/>
    <w:basedOn w:val="a"/>
    <w:rsid w:val="00042229"/>
    <w:pPr>
      <w:widowControl/>
      <w:suppressAutoHyphens w:val="0"/>
      <w:autoSpaceDN/>
      <w:spacing w:after="160" w:line="240" w:lineRule="exact"/>
      <w:textAlignment w:val="auto"/>
    </w:pPr>
    <w:rPr>
      <w:rFonts w:ascii="Verdana" w:eastAsia="Times New Roman" w:hAnsi="Verdana" w:cs="Times New Roman"/>
      <w:color w:val="000000"/>
      <w:kern w:val="0"/>
      <w:sz w:val="20"/>
      <w:szCs w:val="20"/>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image" Target="media/image4.wmf"/><Relationship Id="rId18" Type="http://schemas.openxmlformats.org/officeDocument/2006/relationships/control" Target="activeX/activeX6.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wmf"/><Relationship Id="rId12" Type="http://schemas.openxmlformats.org/officeDocument/2006/relationships/control" Target="activeX/activeX3.xml"/><Relationship Id="rId17" Type="http://schemas.openxmlformats.org/officeDocument/2006/relationships/image" Target="media/image6.wmf"/><Relationship Id="rId2" Type="http://schemas.openxmlformats.org/officeDocument/2006/relationships/styles" Target="styles.xml"/><Relationship Id="rId16" Type="http://schemas.openxmlformats.org/officeDocument/2006/relationships/control" Target="activeX/activeX5.xm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microsoft.com/office/2016/09/relationships/commentsIds" Target="commentsIds.xml"/><Relationship Id="rId5" Type="http://schemas.openxmlformats.org/officeDocument/2006/relationships/footnotes" Target="footnotes.xml"/><Relationship Id="rId15" Type="http://schemas.openxmlformats.org/officeDocument/2006/relationships/image" Target="media/image5.wmf"/><Relationship Id="rId23" Type="http://schemas.microsoft.com/office/2018/08/relationships/commentsExtensible" Target="commentsExtensible.xml"/><Relationship Id="rId10" Type="http://schemas.openxmlformats.org/officeDocument/2006/relationships/control" Target="activeX/activeX2.xm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control" Target="activeX/activeX4.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Theme">
  <a:themeElements>
    <a:clrScheme name="Novotech Guidelines 2018">
      <a:dk1>
        <a:sysClr val="windowText" lastClr="000000"/>
      </a:dk1>
      <a:lt1>
        <a:sysClr val="window" lastClr="FFFFFF"/>
      </a:lt1>
      <a:dk2>
        <a:srgbClr val="000000"/>
      </a:dk2>
      <a:lt2>
        <a:srgbClr val="FFFFFF"/>
      </a:lt2>
      <a:accent1>
        <a:srgbClr val="003D4C"/>
      </a:accent1>
      <a:accent2>
        <a:srgbClr val="737B82"/>
      </a:accent2>
      <a:accent3>
        <a:srgbClr val="AFCDD7"/>
      </a:accent3>
      <a:accent4>
        <a:srgbClr val="00B5E2"/>
      </a:accent4>
      <a:accent5>
        <a:srgbClr val="00A376"/>
      </a:accent5>
      <a:accent6>
        <a:srgbClr val="7566A0"/>
      </a:accent6>
      <a:hlink>
        <a:srgbClr val="E10600"/>
      </a:hlink>
      <a:folHlink>
        <a:srgbClr val="FFC72C"/>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178</TotalTime>
  <Pages>12</Pages>
  <Words>3437</Words>
  <Characters>19596</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臺北醫學大學技術移轉授權合約書（範本）</vt:lpstr>
    </vt:vector>
  </TitlesOfParts>
  <Company>Novotech Pty Ltd</Company>
  <LinksUpToDate>false</LinksUpToDate>
  <CharactersWithSpaces>22988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臺北醫學大學技術移轉授權合約書（範本）</dc:title>
  <dc:subject/>
  <dc:creator>hsu</dc:creator>
  <cp:keywords/>
  <cp:lastModifiedBy>Patty Lu</cp:lastModifiedBy>
  <cp:revision>28</cp:revision>
  <cp:lastPrinted>2017-08-24T16:15:00Z</cp:lastPrinted>
  <dcterms:created xsi:type="dcterms:W3CDTF">2021-01-26T06:50:00Z</dcterms:created>
  <dcterms:modified xsi:type="dcterms:W3CDTF">2021-02-22T05:09:00Z</dcterms:modified>
</cp:coreProperties>
</file>